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22" w:rsidRPr="00C81B65" w:rsidRDefault="000D3522" w:rsidP="000D3522">
      <w:pPr>
        <w:widowControl w:val="0"/>
        <w:spacing w:before="10" w:after="120" w:line="240" w:lineRule="auto"/>
        <w:rPr>
          <w:rFonts w:ascii="Arial" w:eastAsia="Arial" w:hAnsi="Arial" w:cs="Arial"/>
          <w:b/>
          <w:color w:val="006D8A"/>
        </w:rPr>
      </w:pPr>
      <w:r w:rsidRPr="00C81B65">
        <w:rPr>
          <w:rFonts w:ascii="Arial" w:eastAsia="Arial" w:hAnsi="Arial" w:cs="Arial"/>
          <w:b/>
          <w:color w:val="006D8A"/>
        </w:rPr>
        <w:t>Governance Policies</w:t>
      </w:r>
    </w:p>
    <w:p w:rsidR="000D3522" w:rsidRPr="00C81B65" w:rsidRDefault="00C81B65" w:rsidP="000D3522">
      <w:pPr>
        <w:keepNext/>
        <w:spacing w:before="360" w:after="120" w:line="240" w:lineRule="auto"/>
        <w:outlineLvl w:val="1"/>
        <w:rPr>
          <w:rFonts w:ascii="Arial" w:eastAsia="Times New Roman" w:hAnsi="Arial" w:cs="Arial"/>
          <w:b/>
          <w:bCs/>
          <w:color w:val="8E8981"/>
        </w:rPr>
      </w:pPr>
      <w:bookmarkStart w:id="0" w:name="_Toc440211502"/>
      <w:proofErr w:type="gramStart"/>
      <w:r>
        <w:rPr>
          <w:rFonts w:ascii="Arial" w:eastAsia="Times New Roman" w:hAnsi="Arial" w:cs="Arial"/>
          <w:b/>
          <w:bCs/>
          <w:color w:val="8E8981"/>
        </w:rPr>
        <w:t>#.#</w:t>
      </w:r>
      <w:proofErr w:type="gramEnd"/>
      <w:r w:rsidR="000D3522" w:rsidRPr="00C81B65">
        <w:rPr>
          <w:rFonts w:ascii="Arial" w:eastAsia="Times New Roman" w:hAnsi="Arial" w:cs="Arial"/>
          <w:b/>
          <w:bCs/>
          <w:color w:val="8E8981"/>
        </w:rPr>
        <w:t xml:space="preserve"> Board Attendance</w:t>
      </w:r>
      <w:bookmarkEnd w:id="0"/>
      <w:r w:rsidR="000D3522" w:rsidRPr="00C81B65">
        <w:rPr>
          <w:rFonts w:ascii="Arial" w:eastAsia="Times New Roman" w:hAnsi="Arial" w:cs="Arial"/>
          <w:b/>
          <w:bCs/>
          <w:color w:val="8E8981"/>
        </w:rPr>
        <w:t xml:space="preserve"> </w:t>
      </w:r>
    </w:p>
    <w:p w:rsidR="000D3522" w:rsidRPr="00C81B65" w:rsidRDefault="000D3522" w:rsidP="000D3522">
      <w:pPr>
        <w:numPr>
          <w:ilvl w:val="1"/>
          <w:numId w:val="0"/>
        </w:numPr>
        <w:spacing w:before="240" w:after="120" w:line="240" w:lineRule="auto"/>
        <w:rPr>
          <w:rFonts w:ascii="Arial" w:eastAsiaTheme="minorEastAsia" w:hAnsi="Arial" w:cs="Arial"/>
          <w:b/>
          <w:spacing w:val="15"/>
        </w:rPr>
      </w:pPr>
      <w:r w:rsidRPr="00C81B65">
        <w:rPr>
          <w:rFonts w:ascii="Arial" w:eastAsiaTheme="minorEastAsia" w:hAnsi="Arial" w:cs="Arial"/>
          <w:b/>
          <w:spacing w:val="15"/>
        </w:rPr>
        <w:t>Rationale</w:t>
      </w:r>
    </w:p>
    <w:p w:rsidR="000D3522" w:rsidRPr="00C81B65" w:rsidRDefault="000D3522" w:rsidP="000D3522">
      <w:pPr>
        <w:widowControl w:val="0"/>
        <w:spacing w:before="10" w:after="120" w:line="240" w:lineRule="auto"/>
        <w:rPr>
          <w:rFonts w:ascii="Arial" w:eastAsia="Arial" w:hAnsi="Arial" w:cs="Arial"/>
        </w:rPr>
      </w:pPr>
      <w:r w:rsidRPr="00C81B65">
        <w:rPr>
          <w:rFonts w:ascii="Arial" w:eastAsia="Arial" w:hAnsi="Arial" w:cs="Arial"/>
        </w:rPr>
        <w:t xml:space="preserve">Regular attendance at the </w:t>
      </w:r>
      <w:r w:rsidR="00C81B65" w:rsidRPr="00C81B65">
        <w:rPr>
          <w:rFonts w:ascii="Arial" w:eastAsia="Arial" w:hAnsi="Arial" w:cs="Arial"/>
        </w:rPr>
        <w:t>NAME</w:t>
      </w:r>
      <w:r w:rsidRPr="00C81B65">
        <w:rPr>
          <w:rFonts w:ascii="Arial" w:eastAsia="Arial" w:hAnsi="Arial" w:cs="Arial"/>
        </w:rPr>
        <w:t xml:space="preserve"> Division’s board meetings is essential to maintaining continuity, a </w:t>
      </w:r>
      <w:r w:rsidRPr="00C81B65">
        <w:rPr>
          <w:rFonts w:ascii="Arial" w:eastAsia="Arial" w:hAnsi="Arial" w:cs="Arial"/>
          <w:noProof/>
        </w:rPr>
        <w:t>geographical</w:t>
      </w:r>
      <w:r w:rsidRPr="00C81B65">
        <w:rPr>
          <w:rFonts w:ascii="Arial" w:eastAsia="Arial" w:hAnsi="Arial" w:cs="Arial"/>
        </w:rPr>
        <w:t xml:space="preserve"> representation of the membership and governance of the Division.</w:t>
      </w:r>
    </w:p>
    <w:p w:rsidR="000D3522" w:rsidRPr="00C81B65" w:rsidRDefault="000D3522" w:rsidP="000D3522">
      <w:pPr>
        <w:numPr>
          <w:ilvl w:val="1"/>
          <w:numId w:val="0"/>
        </w:numPr>
        <w:spacing w:before="240" w:after="120" w:line="240" w:lineRule="auto"/>
        <w:rPr>
          <w:rFonts w:ascii="Arial" w:eastAsiaTheme="minorEastAsia" w:hAnsi="Arial" w:cs="Arial"/>
          <w:b/>
          <w:spacing w:val="15"/>
        </w:rPr>
      </w:pPr>
      <w:r w:rsidRPr="00C81B65">
        <w:rPr>
          <w:rFonts w:ascii="Arial" w:eastAsiaTheme="minorEastAsia" w:hAnsi="Arial" w:cs="Arial"/>
          <w:b/>
          <w:spacing w:val="15"/>
        </w:rPr>
        <w:t>Purpose</w:t>
      </w:r>
    </w:p>
    <w:p w:rsidR="000D3522" w:rsidRPr="00C81B65" w:rsidRDefault="000D3522" w:rsidP="000D3522">
      <w:pPr>
        <w:widowControl w:val="0"/>
        <w:spacing w:before="10" w:after="120" w:line="240" w:lineRule="auto"/>
        <w:rPr>
          <w:rFonts w:ascii="Arial" w:eastAsia="Arial" w:hAnsi="Arial" w:cs="Arial"/>
        </w:rPr>
      </w:pPr>
      <w:r w:rsidRPr="00C81B65">
        <w:rPr>
          <w:rFonts w:ascii="Arial" w:eastAsia="Arial" w:hAnsi="Arial" w:cs="Arial"/>
        </w:rPr>
        <w:t>This board attendance policy is intended to set a clear shared expectation for meeting attendance that we hold ourselves accountable to and to provide procedures to deal with any failures in such attendance.</w:t>
      </w:r>
    </w:p>
    <w:p w:rsidR="000D3522" w:rsidRPr="00C81B65" w:rsidRDefault="000D3522" w:rsidP="000D3522">
      <w:pPr>
        <w:widowControl w:val="0"/>
        <w:spacing w:before="10" w:after="120" w:line="240" w:lineRule="auto"/>
        <w:rPr>
          <w:rFonts w:ascii="Arial" w:eastAsia="Arial" w:hAnsi="Arial" w:cs="Arial"/>
        </w:rPr>
      </w:pPr>
      <w:r w:rsidRPr="00C81B65">
        <w:rPr>
          <w:rFonts w:ascii="Arial" w:eastAsia="Arial" w:hAnsi="Arial" w:cs="Arial"/>
        </w:rPr>
        <w:t>It is recognized that directors may be unable to attend some meetings due to conflicts with other commitments or other unforeseen circumstances.</w:t>
      </w:r>
    </w:p>
    <w:p w:rsidR="000D3522" w:rsidRPr="00C81B65" w:rsidRDefault="000D3522" w:rsidP="000D3522">
      <w:pPr>
        <w:numPr>
          <w:ilvl w:val="1"/>
          <w:numId w:val="0"/>
        </w:numPr>
        <w:spacing w:before="240" w:after="120" w:line="240" w:lineRule="auto"/>
        <w:rPr>
          <w:rFonts w:ascii="Arial" w:eastAsiaTheme="minorEastAsia" w:hAnsi="Arial" w:cs="Arial"/>
          <w:b/>
          <w:spacing w:val="15"/>
        </w:rPr>
      </w:pPr>
      <w:r w:rsidRPr="00C81B65">
        <w:rPr>
          <w:rFonts w:ascii="Arial" w:eastAsiaTheme="minorEastAsia" w:hAnsi="Arial" w:cs="Arial"/>
          <w:b/>
          <w:spacing w:val="15"/>
        </w:rPr>
        <w:t>Expectations</w:t>
      </w:r>
    </w:p>
    <w:p w:rsidR="000D3522" w:rsidRPr="00C81B65" w:rsidRDefault="000D3522" w:rsidP="000D3522">
      <w:pPr>
        <w:widowControl w:val="0"/>
        <w:numPr>
          <w:ilvl w:val="0"/>
          <w:numId w:val="1"/>
        </w:numPr>
        <w:spacing w:before="10" w:after="120" w:line="240" w:lineRule="auto"/>
        <w:rPr>
          <w:rFonts w:ascii="Arial" w:eastAsia="Arial" w:hAnsi="Arial" w:cs="Arial"/>
        </w:rPr>
      </w:pPr>
      <w:r w:rsidRPr="00C81B65">
        <w:rPr>
          <w:rFonts w:ascii="Arial" w:eastAsia="Arial" w:hAnsi="Arial" w:cs="Arial"/>
        </w:rPr>
        <w:t>Directors will strive to participate in 80% of regular board meetings either in person or via teleconference.</w:t>
      </w:r>
    </w:p>
    <w:p w:rsidR="000D3522" w:rsidRPr="00C81B65" w:rsidRDefault="000D3522" w:rsidP="000D3522">
      <w:pPr>
        <w:widowControl w:val="0"/>
        <w:numPr>
          <w:ilvl w:val="0"/>
          <w:numId w:val="1"/>
        </w:numPr>
        <w:spacing w:before="10" w:after="120" w:line="240" w:lineRule="auto"/>
        <w:rPr>
          <w:rFonts w:ascii="Arial" w:eastAsia="Arial" w:hAnsi="Arial" w:cs="Arial"/>
        </w:rPr>
      </w:pPr>
      <w:r w:rsidRPr="00C81B65">
        <w:rPr>
          <w:rFonts w:ascii="Arial" w:eastAsia="Arial" w:hAnsi="Arial" w:cs="Arial"/>
        </w:rPr>
        <w:t>If unable to attend, the director must provide advance notice to the Division office.</w:t>
      </w:r>
    </w:p>
    <w:p w:rsidR="000D3522" w:rsidRPr="00C81B65" w:rsidRDefault="000D3522" w:rsidP="000D3522">
      <w:pPr>
        <w:widowControl w:val="0"/>
        <w:numPr>
          <w:ilvl w:val="0"/>
          <w:numId w:val="1"/>
        </w:numPr>
        <w:spacing w:before="10" w:after="120" w:line="240" w:lineRule="auto"/>
        <w:rPr>
          <w:rFonts w:ascii="Arial" w:eastAsia="Arial" w:hAnsi="Arial" w:cs="Arial"/>
        </w:rPr>
      </w:pPr>
      <w:r w:rsidRPr="00C81B65">
        <w:rPr>
          <w:rFonts w:ascii="Arial" w:eastAsia="Arial" w:hAnsi="Arial" w:cs="Arial"/>
        </w:rPr>
        <w:t>If meetings are missed, the director is responsible for updating themselves and providing feedback as needed.</w:t>
      </w:r>
    </w:p>
    <w:p w:rsidR="000D3522" w:rsidRPr="00C81B65" w:rsidRDefault="000D3522" w:rsidP="000D3522">
      <w:pPr>
        <w:numPr>
          <w:ilvl w:val="1"/>
          <w:numId w:val="0"/>
        </w:numPr>
        <w:spacing w:before="240" w:after="120" w:line="240" w:lineRule="auto"/>
        <w:rPr>
          <w:rFonts w:ascii="Arial" w:eastAsiaTheme="minorEastAsia" w:hAnsi="Arial" w:cs="Arial"/>
          <w:b/>
          <w:spacing w:val="15"/>
        </w:rPr>
      </w:pPr>
      <w:r w:rsidRPr="00C81B65">
        <w:rPr>
          <w:rFonts w:ascii="Arial" w:eastAsiaTheme="minorEastAsia" w:hAnsi="Arial" w:cs="Arial"/>
          <w:b/>
          <w:spacing w:val="15"/>
        </w:rPr>
        <w:t>Process</w:t>
      </w:r>
    </w:p>
    <w:p w:rsidR="000D3522" w:rsidRPr="00C81B65" w:rsidRDefault="000D3522" w:rsidP="000D3522">
      <w:pPr>
        <w:widowControl w:val="0"/>
        <w:numPr>
          <w:ilvl w:val="0"/>
          <w:numId w:val="2"/>
        </w:numPr>
        <w:spacing w:before="10" w:after="120" w:line="240" w:lineRule="auto"/>
        <w:rPr>
          <w:rFonts w:ascii="Arial" w:eastAsia="Arial" w:hAnsi="Arial" w:cs="Arial"/>
        </w:rPr>
      </w:pPr>
      <w:r w:rsidRPr="00C81B65">
        <w:rPr>
          <w:rFonts w:ascii="Arial" w:eastAsia="Arial" w:hAnsi="Arial" w:cs="Arial"/>
        </w:rPr>
        <w:t xml:space="preserve">In the event of a director’s attendance problem, the board chair shall contact the individual to discuss the reasons for the absences. </w:t>
      </w:r>
    </w:p>
    <w:p w:rsidR="000D3522" w:rsidRPr="00C81B65" w:rsidRDefault="000D3522" w:rsidP="000D3522">
      <w:pPr>
        <w:widowControl w:val="0"/>
        <w:numPr>
          <w:ilvl w:val="0"/>
          <w:numId w:val="2"/>
        </w:numPr>
        <w:spacing w:before="10" w:after="120" w:line="240" w:lineRule="auto"/>
        <w:rPr>
          <w:rFonts w:ascii="Arial" w:eastAsia="Arial" w:hAnsi="Arial" w:cs="Arial"/>
        </w:rPr>
      </w:pPr>
      <w:r w:rsidRPr="00C81B65">
        <w:rPr>
          <w:rFonts w:ascii="Arial" w:eastAsia="Arial" w:hAnsi="Arial" w:cs="Arial"/>
        </w:rPr>
        <w:t xml:space="preserve">If the director’s difficulties are resolvable, then the chair and director shall attempt to resolve them. </w:t>
      </w:r>
    </w:p>
    <w:p w:rsidR="000D3522" w:rsidRPr="00C81B65" w:rsidRDefault="000D3522" w:rsidP="000D3522">
      <w:pPr>
        <w:widowControl w:val="0"/>
        <w:numPr>
          <w:ilvl w:val="0"/>
          <w:numId w:val="2"/>
        </w:numPr>
        <w:spacing w:before="10" w:after="120" w:line="240" w:lineRule="auto"/>
        <w:rPr>
          <w:rFonts w:ascii="Arial" w:eastAsia="Arial" w:hAnsi="Arial" w:cs="Arial"/>
        </w:rPr>
      </w:pPr>
      <w:r w:rsidRPr="00C81B65">
        <w:rPr>
          <w:rFonts w:ascii="Arial" w:eastAsia="Arial" w:hAnsi="Arial" w:cs="Arial"/>
        </w:rPr>
        <w:t>If no mutually satisfactory resolution is possible, and if the director wishes to continue on the board, then the director’s response will be put to the board at its next meeting. The director shall be entitled to speak to this item, and to vote on it. The board will then decide what actions to take regarding that director’s future membership on the board.  </w:t>
      </w:r>
    </w:p>
    <w:p w:rsidR="000D3522" w:rsidRDefault="000D3522" w:rsidP="000D3522">
      <w:pPr>
        <w:widowControl w:val="0"/>
        <w:numPr>
          <w:ilvl w:val="0"/>
          <w:numId w:val="2"/>
        </w:numPr>
        <w:spacing w:before="10" w:after="120" w:line="240" w:lineRule="auto"/>
        <w:rPr>
          <w:rFonts w:ascii="Arial" w:eastAsia="Arial" w:hAnsi="Arial" w:cs="Arial"/>
        </w:rPr>
      </w:pPr>
      <w:r w:rsidRPr="00C81B65">
        <w:rPr>
          <w:rFonts w:ascii="Arial" w:eastAsia="Arial" w:hAnsi="Arial" w:cs="Arial"/>
        </w:rPr>
        <w:t xml:space="preserve">If the director does not wish to continue on the board, the chair will request that a letter of resignation be given within two weeks. The director’s response will promptly be shared by the chair with the entire board. The board will promptly initiate a process to begin recruiting a new board director as per </w:t>
      </w:r>
      <w:r w:rsidR="00C81B65" w:rsidRPr="00C81B65">
        <w:rPr>
          <w:rFonts w:ascii="Arial" w:eastAsia="Arial" w:hAnsi="Arial" w:cs="Arial"/>
        </w:rPr>
        <w:t>NAME</w:t>
      </w:r>
      <w:r w:rsidRPr="00C81B65">
        <w:rPr>
          <w:rFonts w:ascii="Arial" w:eastAsia="Arial" w:hAnsi="Arial" w:cs="Arial"/>
        </w:rPr>
        <w:t xml:space="preserve"> DoFP Bylaws.</w:t>
      </w:r>
    </w:p>
    <w:p w:rsidR="00066928" w:rsidRPr="00C81B65" w:rsidRDefault="00066928" w:rsidP="00066928">
      <w:pPr>
        <w:widowControl w:val="0"/>
        <w:spacing w:before="10" w:after="120" w:line="240" w:lineRule="auto"/>
        <w:ind w:left="720"/>
        <w:rPr>
          <w:rFonts w:ascii="Arial" w:eastAsia="Arial" w:hAnsi="Arial" w:cs="Arial"/>
        </w:rPr>
      </w:pPr>
      <w:bookmarkStart w:id="1" w:name="_GoBack"/>
      <w:bookmarkEnd w:id="1"/>
    </w:p>
    <w:tbl>
      <w:tblPr>
        <w:tblStyle w:val="TableGrid"/>
        <w:tblW w:w="9360" w:type="dxa"/>
        <w:tblLook w:val="04A0" w:firstRow="1" w:lastRow="0" w:firstColumn="1" w:lastColumn="0" w:noHBand="0" w:noVBand="1"/>
      </w:tblPr>
      <w:tblGrid>
        <w:gridCol w:w="4680"/>
        <w:gridCol w:w="4680"/>
      </w:tblGrid>
      <w:tr w:rsidR="000D3522" w:rsidRPr="00C81B65" w:rsidTr="00EE3FD1">
        <w:trPr>
          <w:trHeight w:val="268"/>
        </w:trPr>
        <w:tc>
          <w:tcPr>
            <w:tcW w:w="4680" w:type="dxa"/>
          </w:tcPr>
          <w:p w:rsidR="000D3522" w:rsidRPr="00C81B65" w:rsidRDefault="000D3522" w:rsidP="000D3522">
            <w:pPr>
              <w:spacing w:before="60" w:after="60"/>
              <w:rPr>
                <w:rFonts w:ascii="Arial" w:hAnsi="Arial" w:cs="Arial"/>
                <w:w w:val="105"/>
              </w:rPr>
            </w:pPr>
            <w:r w:rsidRPr="00C81B65">
              <w:rPr>
                <w:rFonts w:ascii="Arial" w:hAnsi="Arial" w:cs="Arial"/>
                <w:w w:val="105"/>
              </w:rPr>
              <w:t>First Approved</w:t>
            </w:r>
          </w:p>
        </w:tc>
        <w:tc>
          <w:tcPr>
            <w:tcW w:w="4680" w:type="dxa"/>
          </w:tcPr>
          <w:p w:rsidR="000D3522" w:rsidRPr="00C81B65" w:rsidRDefault="000D3522" w:rsidP="000D3522">
            <w:pPr>
              <w:spacing w:before="60" w:after="60"/>
              <w:rPr>
                <w:rFonts w:ascii="Arial" w:hAnsi="Arial" w:cs="Arial"/>
                <w:w w:val="105"/>
              </w:rPr>
            </w:pPr>
            <w:r w:rsidRPr="00C81B65">
              <w:rPr>
                <w:rFonts w:ascii="Arial" w:hAnsi="Arial" w:cs="Arial"/>
                <w:w w:val="105"/>
              </w:rPr>
              <w:t>Approved Revisions</w:t>
            </w:r>
          </w:p>
        </w:tc>
      </w:tr>
      <w:tr w:rsidR="000D3522" w:rsidRPr="00C81B65" w:rsidTr="00EE3FD1">
        <w:trPr>
          <w:trHeight w:val="281"/>
        </w:trPr>
        <w:tc>
          <w:tcPr>
            <w:tcW w:w="4680" w:type="dxa"/>
          </w:tcPr>
          <w:p w:rsidR="000D3522" w:rsidRPr="00C81B65" w:rsidRDefault="00C81B65" w:rsidP="000D3522">
            <w:pPr>
              <w:spacing w:before="60" w:after="60"/>
              <w:rPr>
                <w:rFonts w:ascii="Arial" w:hAnsi="Arial" w:cs="Arial"/>
                <w:w w:val="105"/>
              </w:rPr>
            </w:pPr>
            <w:r>
              <w:rPr>
                <w:rFonts w:ascii="Arial" w:hAnsi="Arial" w:cs="Arial"/>
                <w:w w:val="105"/>
              </w:rPr>
              <w:t>DATE</w:t>
            </w:r>
          </w:p>
        </w:tc>
        <w:tc>
          <w:tcPr>
            <w:tcW w:w="4680" w:type="dxa"/>
          </w:tcPr>
          <w:p w:rsidR="000D3522" w:rsidRPr="00C81B65" w:rsidRDefault="000D3522" w:rsidP="000D3522">
            <w:pPr>
              <w:spacing w:before="60" w:after="60"/>
              <w:rPr>
                <w:rFonts w:ascii="Arial" w:hAnsi="Arial" w:cs="Arial"/>
                <w:w w:val="105"/>
              </w:rPr>
            </w:pPr>
          </w:p>
        </w:tc>
      </w:tr>
    </w:tbl>
    <w:p w:rsidR="0094333A" w:rsidRPr="00C81B65" w:rsidRDefault="0094333A" w:rsidP="009A50A8">
      <w:pPr>
        <w:widowControl w:val="0"/>
        <w:spacing w:before="10" w:after="120" w:line="240" w:lineRule="auto"/>
        <w:rPr>
          <w:rFonts w:ascii="Arial" w:hAnsi="Arial" w:cs="Arial"/>
        </w:rPr>
      </w:pPr>
    </w:p>
    <w:p w:rsidR="00C81B65" w:rsidRPr="00C81B65" w:rsidRDefault="00C81B65">
      <w:pPr>
        <w:widowControl w:val="0"/>
        <w:spacing w:before="10" w:after="120" w:line="240" w:lineRule="auto"/>
        <w:rPr>
          <w:rFonts w:ascii="Arial" w:hAnsi="Arial" w:cs="Arial"/>
        </w:rPr>
      </w:pPr>
    </w:p>
    <w:sectPr w:rsidR="00C81B65" w:rsidRPr="00C81B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4F" w:rsidRDefault="009A50A8">
      <w:pPr>
        <w:spacing w:after="0" w:line="240" w:lineRule="auto"/>
      </w:pPr>
      <w:r>
        <w:separator/>
      </w:r>
    </w:p>
  </w:endnote>
  <w:endnote w:type="continuationSeparator" w:id="0">
    <w:p w:rsidR="0090384F" w:rsidRDefault="009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22" w:rsidRDefault="00066928" w:rsidP="00EF3EC3">
    <w:pPr>
      <w:tabs>
        <w:tab w:val="center" w:pos="4550"/>
        <w:tab w:val="left" w:pos="5818"/>
      </w:tabs>
      <w:spacing w:after="120"/>
      <w:ind w:right="260"/>
      <w:jc w:val="right"/>
      <w:rPr>
        <w:color w:val="222A35" w:themeColor="text2" w:themeShade="80"/>
        <w:sz w:val="24"/>
      </w:rPr>
    </w:pPr>
    <w:r>
      <w:rPr>
        <w:color w:val="8E8981"/>
        <w:sz w:val="20"/>
        <w:szCs w:val="20"/>
      </w:rPr>
      <w:t>Board Attendance</w:t>
    </w:r>
    <w:r w:rsidR="000D3522">
      <w:rPr>
        <w:color w:val="8496B0" w:themeColor="text2" w:themeTint="99"/>
        <w:sz w:val="24"/>
      </w:rPr>
      <w:t xml:space="preserve"> </w:t>
    </w:r>
    <w:r w:rsidR="000D3522" w:rsidRPr="00AA7EA5">
      <w:rPr>
        <w:color w:val="006D8A"/>
        <w:sz w:val="20"/>
        <w:szCs w:val="20"/>
      </w:rPr>
      <w:fldChar w:fldCharType="begin"/>
    </w:r>
    <w:r w:rsidR="000D3522" w:rsidRPr="00AA7EA5">
      <w:rPr>
        <w:color w:val="006D8A"/>
        <w:sz w:val="20"/>
        <w:szCs w:val="20"/>
      </w:rPr>
      <w:instrText xml:space="preserve"> PAGE   \* MERGEFORMAT </w:instrText>
    </w:r>
    <w:r w:rsidR="000D3522" w:rsidRPr="00AA7EA5">
      <w:rPr>
        <w:color w:val="006D8A"/>
        <w:sz w:val="20"/>
        <w:szCs w:val="20"/>
      </w:rPr>
      <w:fldChar w:fldCharType="separate"/>
    </w:r>
    <w:r>
      <w:rPr>
        <w:noProof/>
        <w:color w:val="006D8A"/>
        <w:sz w:val="20"/>
        <w:szCs w:val="20"/>
      </w:rPr>
      <w:t>1</w:t>
    </w:r>
    <w:r w:rsidR="000D3522" w:rsidRPr="00AA7EA5">
      <w:rPr>
        <w:color w:val="006D8A"/>
        <w:sz w:val="20"/>
        <w:szCs w:val="20"/>
      </w:rPr>
      <w:fldChar w:fldCharType="end"/>
    </w:r>
    <w:r w:rsidR="000D3522" w:rsidRPr="00AA7EA5">
      <w:rPr>
        <w:color w:val="006D8A"/>
        <w:sz w:val="20"/>
        <w:szCs w:val="20"/>
      </w:rPr>
      <w:t xml:space="preserve"> | </w:t>
    </w:r>
    <w:r w:rsidR="000D3522" w:rsidRPr="00AA7EA5">
      <w:rPr>
        <w:color w:val="006D8A"/>
        <w:sz w:val="20"/>
        <w:szCs w:val="20"/>
      </w:rPr>
      <w:fldChar w:fldCharType="begin"/>
    </w:r>
    <w:r w:rsidR="000D3522" w:rsidRPr="00AA7EA5">
      <w:rPr>
        <w:color w:val="006D8A"/>
        <w:sz w:val="20"/>
        <w:szCs w:val="20"/>
      </w:rPr>
      <w:instrText xml:space="preserve"> NUMPAGES  \* Arabic  \* MERGEFORMAT </w:instrText>
    </w:r>
    <w:r w:rsidR="000D3522" w:rsidRPr="00AA7EA5">
      <w:rPr>
        <w:color w:val="006D8A"/>
        <w:sz w:val="20"/>
        <w:szCs w:val="20"/>
      </w:rPr>
      <w:fldChar w:fldCharType="separate"/>
    </w:r>
    <w:r>
      <w:rPr>
        <w:noProof/>
        <w:color w:val="006D8A"/>
        <w:sz w:val="20"/>
        <w:szCs w:val="20"/>
      </w:rPr>
      <w:t>1</w:t>
    </w:r>
    <w:r w:rsidR="000D3522" w:rsidRPr="00AA7EA5">
      <w:rPr>
        <w:color w:val="006D8A"/>
        <w:sz w:val="20"/>
        <w:szCs w:val="20"/>
      </w:rPr>
      <w:fldChar w:fldCharType="end"/>
    </w:r>
  </w:p>
  <w:p w:rsidR="000D3522" w:rsidRDefault="000D3522" w:rsidP="00FF5D5D">
    <w:pPr>
      <w:pStyle w:val="Level2"/>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4F" w:rsidRDefault="009A50A8">
      <w:pPr>
        <w:spacing w:after="0" w:line="240" w:lineRule="auto"/>
      </w:pPr>
      <w:r>
        <w:separator/>
      </w:r>
    </w:p>
  </w:footnote>
  <w:footnote w:type="continuationSeparator" w:id="0">
    <w:p w:rsidR="0090384F" w:rsidRDefault="009A5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9A4"/>
    <w:multiLevelType w:val="hybridMultilevel"/>
    <w:tmpl w:val="74788388"/>
    <w:lvl w:ilvl="0" w:tplc="E640D7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696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4B50F2"/>
    <w:multiLevelType w:val="hybridMultilevel"/>
    <w:tmpl w:val="B8A06E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2211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8C"/>
    <w:rsid w:val="00066928"/>
    <w:rsid w:val="000D3522"/>
    <w:rsid w:val="0044668C"/>
    <w:rsid w:val="0090384F"/>
    <w:rsid w:val="0094333A"/>
    <w:rsid w:val="009A50A8"/>
    <w:rsid w:val="00C8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link w:val="Level2Char"/>
    <w:autoRedefine/>
    <w:qFormat/>
    <w:rsid w:val="000D3522"/>
    <w:pPr>
      <w:autoSpaceDE w:val="0"/>
      <w:autoSpaceDN w:val="0"/>
      <w:adjustRightInd w:val="0"/>
      <w:spacing w:after="120" w:line="280" w:lineRule="exact"/>
    </w:pPr>
    <w:rPr>
      <w:rFonts w:ascii="Arial" w:eastAsiaTheme="minorEastAsia" w:hAnsi="Arial" w:cs="Georgia"/>
      <w:b/>
      <w:bCs/>
      <w:color w:val="8496B0" w:themeColor="text2" w:themeTint="99"/>
      <w:sz w:val="32"/>
      <w:szCs w:val="32"/>
      <w:lang w:val="en-CA" w:eastAsia="ja-JP"/>
    </w:rPr>
  </w:style>
  <w:style w:type="character" w:customStyle="1" w:styleId="Level2Char">
    <w:name w:val="Level 2 Char"/>
    <w:basedOn w:val="DefaultParagraphFont"/>
    <w:link w:val="Level2"/>
    <w:rsid w:val="000D3522"/>
    <w:rPr>
      <w:rFonts w:ascii="Arial" w:eastAsiaTheme="minorEastAsia" w:hAnsi="Arial" w:cs="Georgia"/>
      <w:b/>
      <w:bCs/>
      <w:color w:val="8496B0" w:themeColor="text2" w:themeTint="99"/>
      <w:sz w:val="32"/>
      <w:szCs w:val="32"/>
      <w:lang w:val="en-CA" w:eastAsia="ja-JP"/>
    </w:rPr>
  </w:style>
  <w:style w:type="table" w:styleId="TableGrid">
    <w:name w:val="Table Grid"/>
    <w:basedOn w:val="TableNormal"/>
    <w:uiPriority w:val="39"/>
    <w:rsid w:val="000D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28"/>
  </w:style>
  <w:style w:type="paragraph" w:styleId="Footer">
    <w:name w:val="footer"/>
    <w:basedOn w:val="Normal"/>
    <w:link w:val="FooterChar"/>
    <w:uiPriority w:val="99"/>
    <w:unhideWhenUsed/>
    <w:rsid w:val="0006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link w:val="Level2Char"/>
    <w:autoRedefine/>
    <w:qFormat/>
    <w:rsid w:val="000D3522"/>
    <w:pPr>
      <w:autoSpaceDE w:val="0"/>
      <w:autoSpaceDN w:val="0"/>
      <w:adjustRightInd w:val="0"/>
      <w:spacing w:after="120" w:line="280" w:lineRule="exact"/>
    </w:pPr>
    <w:rPr>
      <w:rFonts w:ascii="Arial" w:eastAsiaTheme="minorEastAsia" w:hAnsi="Arial" w:cs="Georgia"/>
      <w:b/>
      <w:bCs/>
      <w:color w:val="8496B0" w:themeColor="text2" w:themeTint="99"/>
      <w:sz w:val="32"/>
      <w:szCs w:val="32"/>
      <w:lang w:val="en-CA" w:eastAsia="ja-JP"/>
    </w:rPr>
  </w:style>
  <w:style w:type="character" w:customStyle="1" w:styleId="Level2Char">
    <w:name w:val="Level 2 Char"/>
    <w:basedOn w:val="DefaultParagraphFont"/>
    <w:link w:val="Level2"/>
    <w:rsid w:val="000D3522"/>
    <w:rPr>
      <w:rFonts w:ascii="Arial" w:eastAsiaTheme="minorEastAsia" w:hAnsi="Arial" w:cs="Georgia"/>
      <w:b/>
      <w:bCs/>
      <w:color w:val="8496B0" w:themeColor="text2" w:themeTint="99"/>
      <w:sz w:val="32"/>
      <w:szCs w:val="32"/>
      <w:lang w:val="en-CA" w:eastAsia="ja-JP"/>
    </w:rPr>
  </w:style>
  <w:style w:type="table" w:styleId="TableGrid">
    <w:name w:val="Table Grid"/>
    <w:basedOn w:val="TableNormal"/>
    <w:uiPriority w:val="39"/>
    <w:rsid w:val="000D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28"/>
  </w:style>
  <w:style w:type="paragraph" w:styleId="Footer">
    <w:name w:val="footer"/>
    <w:basedOn w:val="Normal"/>
    <w:link w:val="FooterChar"/>
    <w:uiPriority w:val="99"/>
    <w:unhideWhenUsed/>
    <w:rsid w:val="0006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D83DB1FF</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Climie, Susan</cp:lastModifiedBy>
  <cp:revision>4</cp:revision>
  <dcterms:created xsi:type="dcterms:W3CDTF">2016-06-08T20:23:00Z</dcterms:created>
  <dcterms:modified xsi:type="dcterms:W3CDTF">2016-06-09T17:37:00Z</dcterms:modified>
</cp:coreProperties>
</file>