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36" w:rsidRDefault="00403C36" w:rsidP="00403C36">
      <w:pPr>
        <w:pStyle w:val="Title"/>
        <w:jc w:val="center"/>
      </w:pPr>
      <w:r>
        <w:t>GPSC Patient Medical Home Evaluation – Methods &amp; Supports</w:t>
      </w:r>
    </w:p>
    <w:p w:rsidR="00403C36" w:rsidRPr="00303CA1" w:rsidRDefault="0039661C" w:rsidP="00403C36">
      <w:pPr>
        <w:pStyle w:val="Heading1"/>
        <w:rPr>
          <w:b/>
          <w:color w:val="006D8A"/>
        </w:rPr>
      </w:pPr>
      <w:r>
        <w:rPr>
          <w:b/>
          <w:color w:val="006D8A"/>
        </w:rPr>
        <w:t>PMH Evaluation</w:t>
      </w:r>
      <w:r w:rsidR="00403C36" w:rsidRPr="00303CA1">
        <w:rPr>
          <w:b/>
          <w:color w:val="006D8A"/>
        </w:rPr>
        <w:t xml:space="preserve"> overview</w:t>
      </w:r>
    </w:p>
    <w:p w:rsidR="00403C36" w:rsidRDefault="003F61D3" w:rsidP="00403C36">
      <w:r>
        <w:rPr>
          <w:noProof/>
          <w:lang w:val="en-CA"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199390</wp:posOffset>
            </wp:positionV>
            <wp:extent cx="1787859" cy="1733550"/>
            <wp:effectExtent l="0" t="0" r="3175" b="0"/>
            <wp:wrapNone/>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87859" cy="1733550"/>
                    </a:xfrm>
                    <a:prstGeom prst="rect">
                      <a:avLst/>
                    </a:prstGeom>
                  </pic:spPr>
                </pic:pic>
              </a:graphicData>
            </a:graphic>
            <wp14:sizeRelH relativeFrom="margin">
              <wp14:pctWidth>0</wp14:pctWidth>
            </wp14:sizeRelH>
            <wp14:sizeRelV relativeFrom="margin">
              <wp14:pctHeight>0</wp14:pctHeight>
            </wp14:sizeRelV>
          </wp:anchor>
        </w:drawing>
      </w:r>
      <w:r w:rsidR="00403C36" w:rsidRPr="00E37AF7">
        <w:t xml:space="preserve"> </w:t>
      </w:r>
    </w:p>
    <w:p w:rsidR="003F61D3" w:rsidRDefault="003F61D3" w:rsidP="00403C36"/>
    <w:p w:rsidR="003F61D3" w:rsidRDefault="003F61D3" w:rsidP="00403C36"/>
    <w:p w:rsidR="003F61D3" w:rsidRDefault="003F61D3" w:rsidP="00403C36"/>
    <w:p w:rsidR="003F61D3" w:rsidRDefault="003F61D3" w:rsidP="00403C36"/>
    <w:p w:rsidR="003F61D3" w:rsidRDefault="003F61D3" w:rsidP="00403C36"/>
    <w:p w:rsidR="003F61D3" w:rsidRPr="00E37AF7" w:rsidRDefault="003F61D3" w:rsidP="00403C36"/>
    <w:p w:rsidR="00E77E6A" w:rsidRDefault="0039661C" w:rsidP="00E77E6A">
      <w:pPr>
        <w:pStyle w:val="Heading1"/>
        <w:rPr>
          <w:b/>
          <w:color w:val="006D8A"/>
        </w:rPr>
      </w:pPr>
      <w:bookmarkStart w:id="0" w:name="_Toc481073161"/>
      <w:bookmarkStart w:id="1" w:name="_Toc481073160"/>
      <w:r>
        <w:rPr>
          <w:b/>
          <w:color w:val="006D8A"/>
        </w:rPr>
        <w:t xml:space="preserve">Methods &amp; </w:t>
      </w:r>
      <w:r w:rsidR="00E77E6A">
        <w:rPr>
          <w:b/>
          <w:color w:val="006D8A"/>
        </w:rPr>
        <w:t>Central Supports</w:t>
      </w:r>
      <w:r w:rsidR="00E77E6A" w:rsidRPr="00303CA1">
        <w:rPr>
          <w:b/>
          <w:color w:val="006D8A"/>
        </w:rPr>
        <w:t xml:space="preserve"> overview</w:t>
      </w:r>
    </w:p>
    <w:p w:rsidR="003F61D3" w:rsidRPr="00E37AF7" w:rsidRDefault="003F61D3" w:rsidP="003F61D3">
      <w:r w:rsidRPr="00E37AF7">
        <w:t>A variety of complementary methods will be utilized in the Patient Medical Home</w:t>
      </w:r>
      <w:r>
        <w:t xml:space="preserve"> (PMH)</w:t>
      </w:r>
      <w:r w:rsidRPr="00E37AF7">
        <w:t xml:space="preserve"> Evaluation. As is evident in the table below, most methods will collect data that is relevant to examining a variety of key </w:t>
      </w:r>
      <w:r>
        <w:t xml:space="preserve">PMH </w:t>
      </w:r>
      <w:r w:rsidRPr="00E37AF7">
        <w:t>outcome</w:t>
      </w:r>
      <w:r>
        <w:t>s</w:t>
      </w:r>
      <w:r w:rsidRPr="00E37AF7">
        <w:t xml:space="preserve"> and progress areas. Moreover, there is a balance of qualitative and quantitative methods</w:t>
      </w:r>
      <w:r>
        <w:t xml:space="preserve"> to allow for data richness, standardization but also flexibility in implementation</w:t>
      </w:r>
      <w:r w:rsidRPr="00E37AF7">
        <w:t xml:space="preserve">. </w:t>
      </w:r>
    </w:p>
    <w:tbl>
      <w:tblPr>
        <w:tblpPr w:leftFromText="180" w:rightFromText="180" w:vertAnchor="page" w:horzAnchor="margin" w:tblpY="8566"/>
        <w:tblW w:w="9350" w:type="dxa"/>
        <w:tblLayout w:type="fixed"/>
        <w:tblCellMar>
          <w:left w:w="0" w:type="dxa"/>
          <w:right w:w="0" w:type="dxa"/>
        </w:tblCellMar>
        <w:tblLook w:val="04A0" w:firstRow="1" w:lastRow="0" w:firstColumn="1" w:lastColumn="0" w:noHBand="0" w:noVBand="1"/>
      </w:tblPr>
      <w:tblGrid>
        <w:gridCol w:w="2870"/>
        <w:gridCol w:w="1530"/>
        <w:gridCol w:w="1530"/>
        <w:gridCol w:w="1710"/>
        <w:gridCol w:w="1710"/>
      </w:tblGrid>
      <w:tr w:rsidR="003F61D3" w:rsidRPr="003F61D3" w:rsidTr="003F61D3">
        <w:trPr>
          <w:trHeight w:val="153"/>
        </w:trPr>
        <w:tc>
          <w:tcPr>
            <w:tcW w:w="2870" w:type="dxa"/>
            <w:vMerge w:val="restart"/>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000000" w:themeColor="text1"/>
                <w:kern w:val="24"/>
                <w:sz w:val="32"/>
                <w:szCs w:val="32"/>
                <w:lang w:eastAsia="en-CA"/>
              </w:rPr>
              <w:t>Primary Methods</w:t>
            </w:r>
          </w:p>
        </w:tc>
        <w:tc>
          <w:tcPr>
            <w:tcW w:w="6480" w:type="dxa"/>
            <w:gridSpan w:val="4"/>
            <w:tcBorders>
              <w:top w:val="single" w:sz="8" w:space="0" w:color="000000"/>
              <w:left w:val="single" w:sz="8" w:space="0" w:color="000000"/>
              <w:bottom w:val="single" w:sz="8" w:space="0" w:color="000000"/>
              <w:right w:val="single" w:sz="8" w:space="0" w:color="000000"/>
            </w:tcBorders>
            <w:shd w:val="clear" w:color="auto" w:fill="3B3436"/>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b/>
                <w:bCs/>
                <w:color w:val="FFFFFF" w:themeColor="background1"/>
                <w:kern w:val="24"/>
                <w:sz w:val="32"/>
                <w:szCs w:val="32"/>
                <w:lang w:eastAsia="en-CA"/>
              </w:rPr>
              <w:t>Key Outcome Areas</w:t>
            </w:r>
          </w:p>
        </w:tc>
      </w:tr>
      <w:tr w:rsidR="003F61D3" w:rsidRPr="003F61D3" w:rsidTr="003F61D3">
        <w:trPr>
          <w:trHeight w:val="213"/>
        </w:trPr>
        <w:tc>
          <w:tcPr>
            <w:tcW w:w="2870" w:type="dxa"/>
            <w:vMerge/>
            <w:tcBorders>
              <w:top w:val="single" w:sz="8" w:space="0" w:color="000000"/>
              <w:left w:val="single" w:sz="8" w:space="0" w:color="000000"/>
              <w:bottom w:val="single" w:sz="8" w:space="0" w:color="000000"/>
              <w:right w:val="single" w:sz="8" w:space="0" w:color="000000"/>
            </w:tcBorders>
            <w:vAlign w:val="center"/>
            <w:hideMark/>
          </w:tcPr>
          <w:p w:rsidR="003F61D3" w:rsidRPr="003F61D3" w:rsidRDefault="003F61D3" w:rsidP="003F61D3">
            <w:pPr>
              <w:spacing w:after="0" w:line="240" w:lineRule="auto"/>
              <w:rPr>
                <w:rFonts w:ascii="Arial" w:eastAsia="Times New Roman" w:hAnsi="Arial" w:cs="Arial"/>
                <w:sz w:val="36"/>
                <w:szCs w:val="36"/>
                <w:lang w:val="en-CA" w:eastAsia="en-CA"/>
              </w:rPr>
            </w:pPr>
          </w:p>
        </w:tc>
        <w:tc>
          <w:tcPr>
            <w:tcW w:w="1530" w:type="dxa"/>
            <w:tcBorders>
              <w:top w:val="single" w:sz="8" w:space="0" w:color="000000"/>
              <w:left w:val="single" w:sz="8" w:space="0" w:color="000000"/>
              <w:bottom w:val="single" w:sz="8" w:space="0" w:color="000000"/>
              <w:right w:val="single" w:sz="8" w:space="0" w:color="000000"/>
            </w:tcBorders>
            <w:shd w:val="clear" w:color="auto" w:fill="BBC09B"/>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FFFFFF" w:themeColor="background1"/>
                <w:kern w:val="24"/>
                <w:sz w:val="32"/>
                <w:szCs w:val="32"/>
                <w:lang w:eastAsia="en-CA"/>
              </w:rPr>
              <w:t>Access</w:t>
            </w:r>
          </w:p>
        </w:tc>
        <w:tc>
          <w:tcPr>
            <w:tcW w:w="1530" w:type="dxa"/>
            <w:tcBorders>
              <w:top w:val="single" w:sz="8" w:space="0" w:color="000000"/>
              <w:left w:val="single" w:sz="8" w:space="0" w:color="000000"/>
              <w:bottom w:val="single" w:sz="8" w:space="0" w:color="000000"/>
              <w:right w:val="single" w:sz="8" w:space="0" w:color="000000"/>
            </w:tcBorders>
            <w:shd w:val="clear" w:color="auto" w:fill="DC661E"/>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FFFFFF" w:themeColor="background1"/>
                <w:kern w:val="24"/>
                <w:sz w:val="32"/>
                <w:szCs w:val="32"/>
                <w:lang w:eastAsia="en-CA"/>
              </w:rPr>
              <w:t>Cost</w:t>
            </w:r>
          </w:p>
        </w:tc>
        <w:tc>
          <w:tcPr>
            <w:tcW w:w="1710" w:type="dxa"/>
            <w:tcBorders>
              <w:top w:val="single" w:sz="8" w:space="0" w:color="000000"/>
              <w:left w:val="single" w:sz="8" w:space="0" w:color="000000"/>
              <w:bottom w:val="single" w:sz="8" w:space="0" w:color="000000"/>
              <w:right w:val="single" w:sz="8" w:space="0" w:color="000000"/>
            </w:tcBorders>
            <w:shd w:val="clear" w:color="auto" w:fill="8E8981"/>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FFFFFF" w:themeColor="background1"/>
                <w:kern w:val="24"/>
                <w:sz w:val="32"/>
                <w:szCs w:val="32"/>
                <w:lang w:eastAsia="en-CA"/>
              </w:rPr>
              <w:t>Patient Experience</w:t>
            </w:r>
          </w:p>
        </w:tc>
        <w:tc>
          <w:tcPr>
            <w:tcW w:w="1710" w:type="dxa"/>
            <w:tcBorders>
              <w:top w:val="single" w:sz="8" w:space="0" w:color="000000"/>
              <w:left w:val="single" w:sz="8" w:space="0" w:color="000000"/>
              <w:bottom w:val="single" w:sz="8" w:space="0" w:color="000000"/>
              <w:right w:val="single" w:sz="8" w:space="0" w:color="000000"/>
            </w:tcBorders>
            <w:shd w:val="clear" w:color="auto" w:fill="006D8A"/>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FFFFFF" w:themeColor="background1"/>
                <w:kern w:val="24"/>
                <w:sz w:val="32"/>
                <w:szCs w:val="32"/>
                <w:lang w:eastAsia="en-CA"/>
              </w:rPr>
              <w:t>Physician Experience</w:t>
            </w:r>
          </w:p>
        </w:tc>
      </w:tr>
      <w:tr w:rsidR="003F61D3" w:rsidRPr="003F61D3" w:rsidTr="003F61D3">
        <w:trPr>
          <w:trHeight w:val="143"/>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rPr>
                <w:rFonts w:ascii="Arial" w:eastAsia="Times New Roman" w:hAnsi="Arial" w:cs="Arial"/>
                <w:sz w:val="36"/>
                <w:szCs w:val="36"/>
                <w:lang w:val="en-CA" w:eastAsia="en-CA"/>
              </w:rPr>
            </w:pPr>
            <w:r w:rsidRPr="003F61D3">
              <w:rPr>
                <w:rFonts w:ascii="Calibri" w:eastAsia="Calibri" w:hAnsi="Calibri" w:cs="Times New Roman"/>
                <w:b/>
                <w:bCs/>
                <w:color w:val="000000" w:themeColor="text1"/>
                <w:kern w:val="24"/>
                <w:sz w:val="20"/>
                <w:szCs w:val="20"/>
                <w:lang w:eastAsia="en-CA"/>
              </w:rPr>
              <w:t xml:space="preserve">Most Significant Change Stories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006D8A"/>
                <w:kern w:val="24"/>
                <w:sz w:val="20"/>
                <w:szCs w:val="20"/>
                <w:lang w:eastAsia="en-CA"/>
              </w:rPr>
              <w:sym w:font="Wingdings 2" w:char="F050"/>
            </w:r>
            <w:r w:rsidRPr="003F61D3">
              <w:rPr>
                <w:rFonts w:ascii="Calibri" w:eastAsia="Calibri" w:hAnsi="Calibri" w:cs="Times New Roman"/>
                <w:color w:val="006D8A"/>
                <w:kern w:val="24"/>
                <w:sz w:val="20"/>
                <w:szCs w:val="20"/>
                <w:lang w:eastAsia="en-CA"/>
              </w:rPr>
              <w:t xml:space="preserve"> qualitative</w:t>
            </w:r>
          </w:p>
        </w:tc>
        <w:tc>
          <w:tcPr>
            <w:tcW w:w="1530" w:type="dxa"/>
            <w:tcBorders>
              <w:top w:val="single" w:sz="8" w:space="0" w:color="000000"/>
              <w:left w:val="single" w:sz="8" w:space="0" w:color="000000"/>
              <w:bottom w:val="single" w:sz="8" w:space="0" w:color="000000"/>
              <w:right w:val="single" w:sz="8" w:space="0" w:color="000000"/>
            </w:tcBorders>
            <w:shd w:val="clear" w:color="auto" w:fill="EEEDED"/>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000000" w:themeColor="text1"/>
                <w:kern w:val="24"/>
                <w:sz w:val="20"/>
                <w:szCs w:val="20"/>
                <w:lang w:eastAsia="en-CA"/>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006D8A"/>
                <w:kern w:val="24"/>
                <w:sz w:val="20"/>
                <w:szCs w:val="20"/>
                <w:lang w:eastAsia="en-CA"/>
              </w:rPr>
              <w:sym w:font="Wingdings 2" w:char="F050"/>
            </w:r>
            <w:r w:rsidRPr="003F61D3">
              <w:rPr>
                <w:rFonts w:ascii="Calibri" w:eastAsia="Calibri" w:hAnsi="Calibri" w:cs="Times New Roman"/>
                <w:color w:val="006D8A"/>
                <w:kern w:val="24"/>
                <w:sz w:val="20"/>
                <w:szCs w:val="20"/>
                <w:lang w:eastAsia="en-CA"/>
              </w:rPr>
              <w:t xml:space="preserve"> qualitative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006D8A"/>
                <w:kern w:val="24"/>
                <w:sz w:val="20"/>
                <w:szCs w:val="20"/>
                <w:lang w:eastAsia="en-CA"/>
              </w:rPr>
              <w:sym w:font="Wingdings 2" w:char="F050"/>
            </w:r>
            <w:r w:rsidRPr="003F61D3">
              <w:rPr>
                <w:rFonts w:ascii="Calibri" w:eastAsia="Calibri" w:hAnsi="Calibri" w:cs="Times New Roman"/>
                <w:color w:val="006D8A"/>
                <w:kern w:val="24"/>
                <w:sz w:val="20"/>
                <w:szCs w:val="20"/>
                <w:lang w:eastAsia="en-CA"/>
              </w:rPr>
              <w:t xml:space="preserve"> qualitative</w:t>
            </w:r>
          </w:p>
        </w:tc>
      </w:tr>
      <w:tr w:rsidR="003F61D3" w:rsidRPr="003F61D3" w:rsidTr="003F61D3">
        <w:trPr>
          <w:trHeight w:val="153"/>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rPr>
                <w:rFonts w:ascii="Arial" w:eastAsia="Times New Roman" w:hAnsi="Arial" w:cs="Arial"/>
                <w:sz w:val="36"/>
                <w:szCs w:val="36"/>
                <w:lang w:val="en-CA" w:eastAsia="en-CA"/>
              </w:rPr>
            </w:pPr>
            <w:r w:rsidRPr="003F61D3">
              <w:rPr>
                <w:rFonts w:ascii="Calibri" w:eastAsia="Calibri" w:hAnsi="Calibri" w:cs="Times New Roman"/>
                <w:b/>
                <w:bCs/>
                <w:color w:val="000000" w:themeColor="text1"/>
                <w:kern w:val="24"/>
                <w:sz w:val="20"/>
                <w:szCs w:val="20"/>
                <w:lang w:eastAsia="en-CA"/>
              </w:rPr>
              <w:t>PMH Assessment Survey</w:t>
            </w:r>
          </w:p>
        </w:tc>
        <w:tc>
          <w:tcPr>
            <w:tcW w:w="1530" w:type="dxa"/>
            <w:tcBorders>
              <w:top w:val="single" w:sz="8" w:space="0" w:color="000000"/>
              <w:left w:val="single" w:sz="8" w:space="0" w:color="000000"/>
              <w:bottom w:val="single" w:sz="8" w:space="0" w:color="000000"/>
              <w:right w:val="single" w:sz="8" w:space="0" w:color="000000"/>
            </w:tcBorders>
            <w:shd w:val="clear" w:color="auto" w:fill="EEEDED"/>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DC661E"/>
                <w:kern w:val="24"/>
                <w:sz w:val="20"/>
                <w:szCs w:val="20"/>
                <w:lang w:eastAsia="en-CA"/>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EEEDED"/>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DC661E"/>
                <w:kern w:val="24"/>
                <w:sz w:val="20"/>
                <w:szCs w:val="20"/>
                <w:lang w:eastAsia="en-CA"/>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EEEDED"/>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DC661E"/>
                <w:kern w:val="24"/>
                <w:sz w:val="20"/>
                <w:szCs w:val="20"/>
                <w:lang w:eastAsia="en-CA"/>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DC661E"/>
                <w:kern w:val="24"/>
                <w:sz w:val="20"/>
                <w:szCs w:val="20"/>
                <w:lang w:eastAsia="en-CA"/>
              </w:rPr>
              <w:sym w:font="Wingdings 2" w:char="F050"/>
            </w:r>
            <w:r w:rsidRPr="003F61D3">
              <w:rPr>
                <w:rFonts w:ascii="Calibri" w:eastAsia="Calibri" w:hAnsi="Calibri" w:cs="Times New Roman"/>
                <w:color w:val="DC661E"/>
                <w:kern w:val="24"/>
                <w:sz w:val="20"/>
                <w:szCs w:val="20"/>
                <w:lang w:eastAsia="en-CA"/>
              </w:rPr>
              <w:t xml:space="preserve"> quantitative</w:t>
            </w:r>
          </w:p>
        </w:tc>
      </w:tr>
      <w:tr w:rsidR="003F61D3" w:rsidRPr="003F61D3" w:rsidTr="003F61D3">
        <w:trPr>
          <w:trHeight w:val="178"/>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rPr>
                <w:rFonts w:ascii="Arial" w:eastAsia="Times New Roman" w:hAnsi="Arial" w:cs="Arial"/>
                <w:sz w:val="36"/>
                <w:szCs w:val="36"/>
                <w:lang w:val="en-CA" w:eastAsia="en-CA"/>
              </w:rPr>
            </w:pPr>
            <w:r w:rsidRPr="003F61D3">
              <w:rPr>
                <w:rFonts w:ascii="Calibri" w:eastAsia="Calibri" w:hAnsi="Calibri" w:cs="Times New Roman"/>
                <w:b/>
                <w:bCs/>
                <w:color w:val="000000" w:themeColor="text1"/>
                <w:kern w:val="24"/>
                <w:sz w:val="20"/>
                <w:szCs w:val="20"/>
                <w:lang w:eastAsia="en-CA"/>
              </w:rPr>
              <w:t>Patient Survey (CCHS + GPSC)</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DC661E"/>
                <w:kern w:val="24"/>
                <w:sz w:val="20"/>
                <w:szCs w:val="20"/>
                <w:lang w:eastAsia="en-CA"/>
              </w:rPr>
              <w:sym w:font="Wingdings 2" w:char="F050"/>
            </w:r>
            <w:r w:rsidRPr="003F61D3">
              <w:rPr>
                <w:rFonts w:ascii="Calibri" w:eastAsia="Calibri" w:hAnsi="Calibri" w:cs="Times New Roman"/>
                <w:color w:val="DC661E"/>
                <w:kern w:val="24"/>
                <w:sz w:val="20"/>
                <w:szCs w:val="20"/>
                <w:lang w:eastAsia="en-CA"/>
              </w:rPr>
              <w:t xml:space="preserve"> quantitative</w:t>
            </w:r>
          </w:p>
        </w:tc>
        <w:tc>
          <w:tcPr>
            <w:tcW w:w="1530" w:type="dxa"/>
            <w:tcBorders>
              <w:top w:val="single" w:sz="8" w:space="0" w:color="000000"/>
              <w:left w:val="single" w:sz="8" w:space="0" w:color="000000"/>
              <w:bottom w:val="single" w:sz="8" w:space="0" w:color="000000"/>
              <w:right w:val="single" w:sz="8" w:space="0" w:color="000000"/>
            </w:tcBorders>
            <w:shd w:val="clear" w:color="auto" w:fill="EEEDED"/>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DC661E"/>
                <w:kern w:val="24"/>
                <w:sz w:val="20"/>
                <w:szCs w:val="20"/>
                <w:lang w:eastAsia="en-CA"/>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DC661E"/>
                <w:kern w:val="24"/>
                <w:sz w:val="20"/>
                <w:szCs w:val="20"/>
                <w:lang w:eastAsia="en-CA"/>
              </w:rPr>
              <w:sym w:font="Wingdings 2" w:char="F050"/>
            </w:r>
            <w:r w:rsidRPr="003F61D3">
              <w:rPr>
                <w:rFonts w:ascii="Calibri" w:eastAsia="Calibri" w:hAnsi="Calibri" w:cs="Times New Roman"/>
                <w:color w:val="DC661E"/>
                <w:kern w:val="24"/>
                <w:sz w:val="20"/>
                <w:szCs w:val="20"/>
                <w:lang w:eastAsia="en-CA"/>
              </w:rPr>
              <w:t xml:space="preserve"> quantitative</w:t>
            </w:r>
          </w:p>
        </w:tc>
        <w:tc>
          <w:tcPr>
            <w:tcW w:w="1710" w:type="dxa"/>
            <w:tcBorders>
              <w:top w:val="single" w:sz="8" w:space="0" w:color="000000"/>
              <w:left w:val="single" w:sz="8" w:space="0" w:color="000000"/>
              <w:bottom w:val="single" w:sz="8" w:space="0" w:color="000000"/>
              <w:right w:val="single" w:sz="8" w:space="0" w:color="000000"/>
            </w:tcBorders>
            <w:shd w:val="clear" w:color="auto" w:fill="EEEDED"/>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DC661E"/>
                <w:kern w:val="24"/>
                <w:sz w:val="20"/>
                <w:szCs w:val="20"/>
                <w:lang w:eastAsia="en-CA"/>
              </w:rPr>
              <w:t> </w:t>
            </w:r>
          </w:p>
        </w:tc>
      </w:tr>
      <w:tr w:rsidR="003F61D3" w:rsidRPr="003F61D3" w:rsidTr="003F61D3">
        <w:trPr>
          <w:trHeight w:val="178"/>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rPr>
                <w:rFonts w:ascii="Arial" w:eastAsia="Times New Roman" w:hAnsi="Arial" w:cs="Arial"/>
                <w:sz w:val="36"/>
                <w:szCs w:val="36"/>
                <w:lang w:val="en-CA" w:eastAsia="en-CA"/>
              </w:rPr>
            </w:pPr>
            <w:r w:rsidRPr="003F61D3">
              <w:rPr>
                <w:rFonts w:ascii="Calibri" w:eastAsia="Calibri" w:hAnsi="Calibri" w:cs="Times New Roman"/>
                <w:b/>
                <w:bCs/>
                <w:color w:val="000000" w:themeColor="text1"/>
                <w:kern w:val="24"/>
                <w:sz w:val="20"/>
                <w:szCs w:val="20"/>
                <w:lang w:eastAsia="en-CA"/>
              </w:rPr>
              <w:t>MOH Administrative data</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DC661E"/>
                <w:kern w:val="24"/>
                <w:sz w:val="20"/>
                <w:szCs w:val="20"/>
                <w:lang w:eastAsia="en-CA"/>
              </w:rPr>
              <w:sym w:font="Wingdings 2" w:char="F050"/>
            </w:r>
            <w:r w:rsidRPr="003F61D3">
              <w:rPr>
                <w:rFonts w:ascii="Calibri" w:eastAsia="Calibri" w:hAnsi="Calibri" w:cs="Times New Roman"/>
                <w:color w:val="DC661E"/>
                <w:kern w:val="24"/>
                <w:sz w:val="20"/>
                <w:szCs w:val="20"/>
                <w:lang w:eastAsia="en-CA"/>
              </w:rPr>
              <w:t xml:space="preserve"> quantitative</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DC661E"/>
                <w:kern w:val="24"/>
                <w:sz w:val="20"/>
                <w:szCs w:val="20"/>
                <w:lang w:eastAsia="en-CA"/>
              </w:rPr>
              <w:sym w:font="Wingdings 2" w:char="F050"/>
            </w:r>
            <w:r w:rsidRPr="003F61D3">
              <w:rPr>
                <w:rFonts w:ascii="Calibri" w:eastAsia="Calibri" w:hAnsi="Calibri" w:cs="Times New Roman"/>
                <w:color w:val="DC661E"/>
                <w:kern w:val="24"/>
                <w:sz w:val="20"/>
                <w:szCs w:val="20"/>
                <w:lang w:eastAsia="en-CA"/>
              </w:rPr>
              <w:t xml:space="preserve"> quantitative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DC661E"/>
                <w:kern w:val="24"/>
                <w:sz w:val="20"/>
                <w:szCs w:val="20"/>
                <w:lang w:eastAsia="en-CA"/>
              </w:rPr>
              <w:sym w:font="Wingdings 2" w:char="F050"/>
            </w:r>
            <w:r w:rsidRPr="003F61D3">
              <w:rPr>
                <w:rFonts w:ascii="Calibri" w:eastAsia="Calibri" w:hAnsi="Calibri" w:cs="Times New Roman"/>
                <w:color w:val="DC661E"/>
                <w:kern w:val="24"/>
                <w:sz w:val="20"/>
                <w:szCs w:val="20"/>
                <w:lang w:eastAsia="en-CA"/>
              </w:rPr>
              <w:t xml:space="preserve"> quantitative</w:t>
            </w:r>
          </w:p>
        </w:tc>
        <w:tc>
          <w:tcPr>
            <w:tcW w:w="1710" w:type="dxa"/>
            <w:tcBorders>
              <w:top w:val="single" w:sz="8" w:space="0" w:color="000000"/>
              <w:left w:val="single" w:sz="8" w:space="0" w:color="000000"/>
              <w:bottom w:val="single" w:sz="8" w:space="0" w:color="000000"/>
              <w:right w:val="single" w:sz="8" w:space="0" w:color="000000"/>
            </w:tcBorders>
            <w:shd w:val="clear" w:color="auto" w:fill="EEEDED"/>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DC661E"/>
                <w:kern w:val="24"/>
                <w:sz w:val="20"/>
                <w:szCs w:val="20"/>
                <w:lang w:eastAsia="en-CA"/>
              </w:rPr>
              <w:t> </w:t>
            </w:r>
          </w:p>
        </w:tc>
      </w:tr>
      <w:tr w:rsidR="003F61D3" w:rsidRPr="003F61D3" w:rsidTr="003F61D3">
        <w:trPr>
          <w:trHeight w:val="154"/>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rPr>
                <w:rFonts w:ascii="Arial" w:eastAsia="Times New Roman" w:hAnsi="Arial" w:cs="Arial"/>
                <w:sz w:val="36"/>
                <w:szCs w:val="36"/>
                <w:lang w:val="en-CA" w:eastAsia="en-CA"/>
              </w:rPr>
            </w:pPr>
            <w:r w:rsidRPr="003F61D3">
              <w:rPr>
                <w:rFonts w:ascii="Calibri" w:eastAsia="Calibri" w:hAnsi="Calibri" w:cs="Times New Roman"/>
                <w:b/>
                <w:bCs/>
                <w:color w:val="000000" w:themeColor="text1"/>
                <w:kern w:val="24"/>
                <w:sz w:val="20"/>
                <w:szCs w:val="20"/>
                <w:lang w:eastAsia="en-CA"/>
              </w:rPr>
              <w:t>Case series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006D8A"/>
                <w:kern w:val="24"/>
                <w:sz w:val="20"/>
                <w:szCs w:val="20"/>
                <w:lang w:eastAsia="en-CA"/>
              </w:rPr>
              <w:sym w:font="Wingdings 2" w:char="F050"/>
            </w:r>
            <w:r w:rsidRPr="003F61D3">
              <w:rPr>
                <w:rFonts w:ascii="Calibri" w:eastAsia="Calibri" w:hAnsi="Calibri" w:cs="Times New Roman"/>
                <w:color w:val="006D8A"/>
                <w:kern w:val="24"/>
                <w:sz w:val="20"/>
                <w:szCs w:val="20"/>
                <w:lang w:eastAsia="en-CA"/>
              </w:rPr>
              <w:t xml:space="preserve"> qualitative</w:t>
            </w:r>
          </w:p>
        </w:tc>
        <w:tc>
          <w:tcPr>
            <w:tcW w:w="1530" w:type="dxa"/>
            <w:tcBorders>
              <w:top w:val="single" w:sz="8" w:space="0" w:color="000000"/>
              <w:left w:val="single" w:sz="8" w:space="0" w:color="000000"/>
              <w:bottom w:val="single" w:sz="8" w:space="0" w:color="000000"/>
              <w:right w:val="single" w:sz="8" w:space="0" w:color="000000"/>
            </w:tcBorders>
            <w:shd w:val="clear" w:color="auto" w:fill="EEEDED"/>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000000" w:themeColor="text1"/>
                <w:kern w:val="24"/>
                <w:sz w:val="20"/>
                <w:szCs w:val="20"/>
                <w:lang w:eastAsia="en-CA"/>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006D8A"/>
                <w:kern w:val="24"/>
                <w:sz w:val="20"/>
                <w:szCs w:val="20"/>
                <w:lang w:eastAsia="en-CA"/>
              </w:rPr>
              <w:sym w:font="Wingdings 2" w:char="F050"/>
            </w:r>
            <w:r w:rsidRPr="003F61D3">
              <w:rPr>
                <w:rFonts w:ascii="Calibri" w:eastAsia="Calibri" w:hAnsi="Calibri" w:cs="Times New Roman"/>
                <w:color w:val="006D8A"/>
                <w:kern w:val="24"/>
                <w:sz w:val="20"/>
                <w:szCs w:val="20"/>
                <w:lang w:eastAsia="en-CA"/>
              </w:rPr>
              <w:t xml:space="preserve"> qualitative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Wingdings 2" w:cs="Times New Roman"/>
                <w:color w:val="006D8A"/>
                <w:kern w:val="24"/>
                <w:sz w:val="20"/>
                <w:szCs w:val="20"/>
                <w:lang w:eastAsia="en-CA"/>
              </w:rPr>
              <w:sym w:font="Wingdings 2" w:char="F050"/>
            </w:r>
            <w:r w:rsidRPr="003F61D3">
              <w:rPr>
                <w:rFonts w:ascii="Calibri" w:eastAsia="Calibri" w:hAnsi="Calibri" w:cs="Times New Roman"/>
                <w:color w:val="006D8A"/>
                <w:kern w:val="24"/>
                <w:sz w:val="20"/>
                <w:szCs w:val="20"/>
                <w:lang w:eastAsia="en-CA"/>
              </w:rPr>
              <w:t xml:space="preserve"> qualitative</w:t>
            </w:r>
          </w:p>
        </w:tc>
      </w:tr>
      <w:tr w:rsidR="003F61D3" w:rsidRPr="003F61D3" w:rsidTr="003F61D3">
        <w:trPr>
          <w:trHeight w:val="169"/>
        </w:trPr>
        <w:tc>
          <w:tcPr>
            <w:tcW w:w="287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rPr>
                <w:rFonts w:ascii="Arial" w:eastAsia="Times New Roman" w:hAnsi="Arial" w:cs="Arial"/>
                <w:sz w:val="36"/>
                <w:szCs w:val="36"/>
                <w:lang w:val="en-CA" w:eastAsia="en-CA"/>
              </w:rPr>
            </w:pPr>
            <w:r w:rsidRPr="003F61D3">
              <w:rPr>
                <w:rFonts w:ascii="Calibri" w:eastAsia="Calibri" w:hAnsi="Calibri" w:cs="Times New Roman"/>
                <w:b/>
                <w:bCs/>
                <w:color w:val="000000" w:themeColor="text1"/>
                <w:kern w:val="24"/>
                <w:sz w:val="20"/>
                <w:szCs w:val="20"/>
                <w:lang w:eastAsia="en-CA"/>
              </w:rPr>
              <w:t>Document review</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006D8A"/>
                <w:kern w:val="24"/>
                <w:sz w:val="20"/>
                <w:szCs w:val="20"/>
                <w:lang w:eastAsia="en-CA"/>
              </w:rPr>
              <w:t>Mixed</w:t>
            </w:r>
            <w:r w:rsidRPr="003F61D3">
              <w:rPr>
                <w:rFonts w:ascii="Calibri" w:eastAsia="Calibri" w:hAnsi="Calibri" w:cs="Times New Roman"/>
                <w:color w:val="000000" w:themeColor="text1"/>
                <w:kern w:val="24"/>
                <w:sz w:val="20"/>
                <w:szCs w:val="20"/>
                <w:lang w:eastAsia="en-CA"/>
              </w:rPr>
              <w:t>-</w:t>
            </w:r>
            <w:r w:rsidRPr="003F61D3">
              <w:rPr>
                <w:rFonts w:ascii="Calibri" w:eastAsia="Calibri" w:hAnsi="Calibri" w:cs="Times New Roman"/>
                <w:color w:val="DC661E"/>
                <w:kern w:val="24"/>
                <w:sz w:val="20"/>
                <w:szCs w:val="20"/>
                <w:lang w:eastAsia="en-CA"/>
              </w:rPr>
              <w:t>Method</w:t>
            </w:r>
            <w:r w:rsidRPr="003F61D3">
              <w:rPr>
                <w:rFonts w:ascii="Calibri" w:eastAsia="Calibri" w:hAnsi="Calibri" w:cs="Times New Roman"/>
                <w:color w:val="000000" w:themeColor="text1"/>
                <w:kern w:val="24"/>
                <w:sz w:val="20"/>
                <w:szCs w:val="20"/>
                <w:lang w:eastAsia="en-CA"/>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006D8A"/>
                <w:kern w:val="24"/>
                <w:sz w:val="20"/>
                <w:szCs w:val="20"/>
                <w:lang w:eastAsia="en-CA"/>
              </w:rPr>
              <w:t>Mixed</w:t>
            </w:r>
            <w:r w:rsidRPr="003F61D3">
              <w:rPr>
                <w:rFonts w:ascii="Calibri" w:eastAsia="Calibri" w:hAnsi="Calibri" w:cs="Times New Roman"/>
                <w:color w:val="231F20"/>
                <w:kern w:val="24"/>
                <w:sz w:val="20"/>
                <w:szCs w:val="20"/>
                <w:lang w:eastAsia="en-CA"/>
              </w:rPr>
              <w:t>-</w:t>
            </w:r>
            <w:r w:rsidRPr="003F61D3">
              <w:rPr>
                <w:rFonts w:ascii="Calibri" w:eastAsia="Calibri" w:hAnsi="Calibri" w:cs="Times New Roman"/>
                <w:color w:val="DC661E"/>
                <w:kern w:val="24"/>
                <w:sz w:val="20"/>
                <w:szCs w:val="20"/>
                <w:lang w:eastAsia="en-CA"/>
              </w:rPr>
              <w:t>Method</w:t>
            </w:r>
            <w:r w:rsidRPr="003F61D3">
              <w:rPr>
                <w:rFonts w:ascii="Calibri" w:eastAsia="Calibri" w:hAnsi="Calibri" w:cs="Times New Roman"/>
                <w:color w:val="231F20"/>
                <w:kern w:val="24"/>
                <w:sz w:val="20"/>
                <w:szCs w:val="20"/>
                <w:lang w:eastAsia="en-CA"/>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006D8A"/>
                <w:kern w:val="24"/>
                <w:sz w:val="20"/>
                <w:szCs w:val="20"/>
                <w:lang w:eastAsia="en-CA"/>
              </w:rPr>
              <w:t>Mixed</w:t>
            </w:r>
            <w:r w:rsidRPr="003F61D3">
              <w:rPr>
                <w:rFonts w:ascii="Calibri" w:eastAsia="Calibri" w:hAnsi="Calibri" w:cs="Times New Roman"/>
                <w:color w:val="231F20"/>
                <w:kern w:val="24"/>
                <w:sz w:val="20"/>
                <w:szCs w:val="20"/>
                <w:lang w:eastAsia="en-CA"/>
              </w:rPr>
              <w:t>-</w:t>
            </w:r>
            <w:r w:rsidRPr="003F61D3">
              <w:rPr>
                <w:rFonts w:ascii="Calibri" w:eastAsia="Calibri" w:hAnsi="Calibri" w:cs="Times New Roman"/>
                <w:color w:val="DC661E"/>
                <w:kern w:val="24"/>
                <w:sz w:val="20"/>
                <w:szCs w:val="20"/>
                <w:lang w:eastAsia="en-CA"/>
              </w:rPr>
              <w:t>Method</w:t>
            </w:r>
            <w:r w:rsidRPr="003F61D3">
              <w:rPr>
                <w:rFonts w:ascii="Calibri" w:eastAsia="Calibri" w:hAnsi="Calibri" w:cs="Times New Roman"/>
                <w:color w:val="231F20"/>
                <w:kern w:val="24"/>
                <w:sz w:val="20"/>
                <w:szCs w:val="20"/>
                <w:lang w:eastAsia="en-CA"/>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3" w:type="dxa"/>
              <w:bottom w:w="54" w:type="dxa"/>
              <w:right w:w="103" w:type="dxa"/>
            </w:tcMar>
            <w:vAlign w:val="center"/>
            <w:hideMark/>
          </w:tcPr>
          <w:p w:rsidR="003F61D3" w:rsidRPr="003F61D3" w:rsidRDefault="003F61D3" w:rsidP="003F61D3">
            <w:pPr>
              <w:spacing w:after="0" w:line="240" w:lineRule="auto"/>
              <w:jc w:val="center"/>
              <w:rPr>
                <w:rFonts w:ascii="Arial" w:eastAsia="Times New Roman" w:hAnsi="Arial" w:cs="Arial"/>
                <w:sz w:val="36"/>
                <w:szCs w:val="36"/>
                <w:lang w:val="en-CA" w:eastAsia="en-CA"/>
              </w:rPr>
            </w:pPr>
            <w:r w:rsidRPr="003F61D3">
              <w:rPr>
                <w:rFonts w:ascii="Calibri" w:eastAsia="Calibri" w:hAnsi="Calibri" w:cs="Times New Roman"/>
                <w:color w:val="006D8A"/>
                <w:kern w:val="24"/>
                <w:sz w:val="20"/>
                <w:szCs w:val="20"/>
                <w:lang w:eastAsia="en-CA"/>
              </w:rPr>
              <w:t>Mixed</w:t>
            </w:r>
            <w:r w:rsidRPr="003F61D3">
              <w:rPr>
                <w:rFonts w:ascii="Calibri" w:eastAsia="Calibri" w:hAnsi="Calibri" w:cs="Times New Roman"/>
                <w:color w:val="231F20"/>
                <w:kern w:val="24"/>
                <w:sz w:val="20"/>
                <w:szCs w:val="20"/>
                <w:lang w:eastAsia="en-CA"/>
              </w:rPr>
              <w:t>-</w:t>
            </w:r>
            <w:r w:rsidRPr="003F61D3">
              <w:rPr>
                <w:rFonts w:ascii="Calibri" w:eastAsia="Calibri" w:hAnsi="Calibri" w:cs="Times New Roman"/>
                <w:color w:val="DC661E"/>
                <w:kern w:val="24"/>
                <w:sz w:val="20"/>
                <w:szCs w:val="20"/>
                <w:lang w:eastAsia="en-CA"/>
              </w:rPr>
              <w:t>Method</w:t>
            </w:r>
            <w:r w:rsidRPr="003F61D3">
              <w:rPr>
                <w:rFonts w:ascii="Calibri" w:eastAsia="Calibri" w:hAnsi="Calibri" w:cs="Times New Roman"/>
                <w:color w:val="231F20"/>
                <w:kern w:val="24"/>
                <w:sz w:val="20"/>
                <w:szCs w:val="20"/>
                <w:lang w:eastAsia="en-CA"/>
              </w:rPr>
              <w:t> </w:t>
            </w:r>
          </w:p>
        </w:tc>
      </w:tr>
    </w:tbl>
    <w:p w:rsidR="003F61D3" w:rsidRPr="00E37AF7" w:rsidRDefault="003F61D3" w:rsidP="003F61D3">
      <w:pPr>
        <w:spacing w:after="0"/>
      </w:pPr>
    </w:p>
    <w:p w:rsidR="003F61D3" w:rsidRPr="003F61D3" w:rsidRDefault="003F61D3" w:rsidP="003F61D3">
      <w:r w:rsidRPr="00E37AF7">
        <w:t>Several of the methods will be implemented in collaboration with Divisions of Family Practice. Implementation details are provided under the headings below for each of the methods that require a contribution from divisions.</w:t>
      </w:r>
    </w:p>
    <w:p w:rsidR="00403C36" w:rsidRPr="00E37AF7" w:rsidRDefault="00403C36" w:rsidP="00403C36">
      <w:pPr>
        <w:pStyle w:val="Heading2"/>
      </w:pPr>
      <w:r>
        <w:lastRenderedPageBreak/>
        <w:t>PMH Assessment</w:t>
      </w:r>
      <w:r w:rsidRPr="00E37AF7">
        <w:t xml:space="preserve"> questions</w:t>
      </w:r>
      <w:bookmarkEnd w:id="0"/>
    </w:p>
    <w:p w:rsidR="00403C36" w:rsidRPr="00E37AF7" w:rsidRDefault="00403C36" w:rsidP="00403C36">
      <w:r w:rsidRPr="00E37AF7">
        <w:rPr>
          <w:color w:val="000000" w:themeColor="text1"/>
        </w:rPr>
        <w:t xml:space="preserve">This method consists of a </w:t>
      </w:r>
      <w:r w:rsidR="00303CA1">
        <w:rPr>
          <w:color w:val="000000" w:themeColor="text1"/>
        </w:rPr>
        <w:t>series</w:t>
      </w:r>
      <w:r w:rsidRPr="00E37AF7">
        <w:rPr>
          <w:color w:val="000000" w:themeColor="text1"/>
        </w:rPr>
        <w:t xml:space="preserve"> of questions </w:t>
      </w:r>
      <w:r w:rsidR="00303CA1">
        <w:rPr>
          <w:color w:val="000000" w:themeColor="text1"/>
        </w:rPr>
        <w:t xml:space="preserve">relating to the PMH </w:t>
      </w:r>
      <w:r w:rsidRPr="00E37AF7">
        <w:rPr>
          <w:color w:val="000000" w:themeColor="text1"/>
        </w:rPr>
        <w:t xml:space="preserve">that will be asked of physicians directly through </w:t>
      </w:r>
      <w:r>
        <w:rPr>
          <w:color w:val="000000" w:themeColor="text1"/>
        </w:rPr>
        <w:t>an online platform through the Practice Support Program (PSP)</w:t>
      </w:r>
      <w:r w:rsidRPr="00E37AF7">
        <w:rPr>
          <w:color w:val="000000" w:themeColor="text1"/>
        </w:rPr>
        <w:t>. The questions are formatted in a closed-ended fashion with a Likert-style scale. Many of the questions</w:t>
      </w:r>
      <w:r>
        <w:rPr>
          <w:color w:val="000000" w:themeColor="text1"/>
        </w:rPr>
        <w:t xml:space="preserve"> are adapted from validated sources and</w:t>
      </w:r>
      <w:r w:rsidRPr="00E37AF7">
        <w:rPr>
          <w:color w:val="000000" w:themeColor="text1"/>
        </w:rPr>
        <w:t xml:space="preserve"> were previously used in the A GP for Me evaluation and were originally created by CIHI</w:t>
      </w:r>
      <w:r w:rsidRPr="00E37AF7">
        <w:rPr>
          <w:rStyle w:val="FootnoteReference"/>
          <w:color w:val="000000" w:themeColor="text1"/>
        </w:rPr>
        <w:footnoteReference w:id="1"/>
      </w:r>
      <w:r w:rsidRPr="00E37AF7">
        <w:rPr>
          <w:color w:val="000000" w:themeColor="text1"/>
        </w:rPr>
        <w:t>.</w:t>
      </w:r>
      <w:r w:rsidRPr="00E37AF7">
        <w:t xml:space="preserve"> </w:t>
      </w:r>
    </w:p>
    <w:p w:rsidR="00403C36" w:rsidRPr="00E37AF7" w:rsidRDefault="00403C36" w:rsidP="00403C36">
      <w:pPr>
        <w:rPr>
          <w:rStyle w:val="SubtleEmphasis"/>
        </w:rPr>
      </w:pPr>
      <w:r w:rsidRPr="00E37AF7">
        <w:rPr>
          <w:rStyle w:val="SubtleEmphasis"/>
        </w:rPr>
        <w:t xml:space="preserve">Implementation Details </w:t>
      </w:r>
    </w:p>
    <w:p w:rsidR="00403C36" w:rsidRPr="00E37AF7" w:rsidRDefault="00403C36" w:rsidP="00403C36">
      <w:pPr>
        <w:rPr>
          <w:rStyle w:val="SubtleEmphasis"/>
          <w:i w:val="0"/>
        </w:rPr>
      </w:pPr>
      <w:r w:rsidRPr="00E37AF7">
        <w:rPr>
          <w:rStyle w:val="SubtleEmphasis"/>
        </w:rPr>
        <w:t>The GPSC</w:t>
      </w:r>
      <w:r w:rsidR="00370C44">
        <w:rPr>
          <w:rStyle w:val="SubtleEmphasis"/>
        </w:rPr>
        <w:t xml:space="preserve"> evaluation team and the PSP are collaborating</w:t>
      </w:r>
      <w:r w:rsidR="00201624">
        <w:rPr>
          <w:rStyle w:val="SubtleEmphasis"/>
        </w:rPr>
        <w:t xml:space="preserve"> with Divisions of Family practice and GPs</w:t>
      </w:r>
      <w:r w:rsidR="00370C44">
        <w:rPr>
          <w:rStyle w:val="SubtleEmphasis"/>
        </w:rPr>
        <w:t xml:space="preserve"> on implementing the PMH Assessment tool. This integration</w:t>
      </w:r>
      <w:r w:rsidR="00201624">
        <w:rPr>
          <w:rStyle w:val="SubtleEmphasis"/>
        </w:rPr>
        <w:t xml:space="preserve"> of the PMH evaluation survey and the Practice Assessment tool</w:t>
      </w:r>
      <w:r w:rsidR="00370C44">
        <w:rPr>
          <w:rStyle w:val="SubtleEmphasis"/>
        </w:rPr>
        <w:t xml:space="preserve"> allows for a minimal</w:t>
      </w:r>
      <w:r w:rsidRPr="00E37AF7">
        <w:rPr>
          <w:rStyle w:val="SubtleEmphasis"/>
        </w:rPr>
        <w:t xml:space="preserve"> number of surveys that GPs are asked to complete. </w:t>
      </w:r>
      <w:r w:rsidR="00370C44">
        <w:rPr>
          <w:rStyle w:val="SubtleEmphasis"/>
        </w:rPr>
        <w:t>The GPSC PMH Assessment is being rolled out across the province through the PSP and</w:t>
      </w:r>
      <w:r w:rsidR="00201624">
        <w:rPr>
          <w:rStyle w:val="SubtleEmphasis"/>
        </w:rPr>
        <w:t xml:space="preserve"> Divisions of Family Practice.</w:t>
      </w:r>
      <w:r w:rsidR="00370C44">
        <w:rPr>
          <w:rStyle w:val="SubtleEmphasis"/>
        </w:rPr>
        <w:t xml:space="preserve"> </w:t>
      </w:r>
    </w:p>
    <w:p w:rsidR="00403C36" w:rsidRPr="00E37AF7" w:rsidRDefault="00201624" w:rsidP="00403C36">
      <w:pPr>
        <w:pStyle w:val="ListParagraph"/>
        <w:numPr>
          <w:ilvl w:val="0"/>
          <w:numId w:val="2"/>
        </w:numPr>
        <w:rPr>
          <w:rStyle w:val="SubtleEmphasis"/>
          <w:b/>
          <w:i w:val="0"/>
        </w:rPr>
      </w:pPr>
      <w:r>
        <w:rPr>
          <w:rStyle w:val="SubtleEmphasis"/>
          <w:b/>
        </w:rPr>
        <w:t>C</w:t>
      </w:r>
      <w:r w:rsidR="00403C36" w:rsidRPr="00E37AF7">
        <w:rPr>
          <w:rStyle w:val="SubtleEmphasis"/>
          <w:b/>
        </w:rPr>
        <w:t xml:space="preserve">ontribution from Divisions: </w:t>
      </w:r>
      <w:r w:rsidR="00403C36" w:rsidRPr="00E37AF7">
        <w:rPr>
          <w:rStyle w:val="SubtleEmphasis"/>
        </w:rPr>
        <w:t>Divisions will develop and implement a plan for co</w:t>
      </w:r>
      <w:r>
        <w:rPr>
          <w:rStyle w:val="SubtleEmphasis"/>
        </w:rPr>
        <w:t>llecting responses from members with support from PSP and the GPSC evaluation team.</w:t>
      </w:r>
    </w:p>
    <w:p w:rsidR="00403C36" w:rsidRPr="00E37AF7" w:rsidRDefault="00403C36" w:rsidP="00403C36">
      <w:pPr>
        <w:pStyle w:val="ListParagraph"/>
        <w:numPr>
          <w:ilvl w:val="0"/>
          <w:numId w:val="2"/>
        </w:numPr>
        <w:rPr>
          <w:rStyle w:val="SubtleEmphasis"/>
          <w:b/>
          <w:i w:val="0"/>
        </w:rPr>
      </w:pPr>
      <w:r w:rsidRPr="00E37AF7">
        <w:rPr>
          <w:rStyle w:val="SubtleEmphasis"/>
          <w:b/>
        </w:rPr>
        <w:t xml:space="preserve">Central Support/Resources: </w:t>
      </w:r>
      <w:r w:rsidRPr="00E37AF7">
        <w:rPr>
          <w:rStyle w:val="SubtleEmphasis"/>
        </w:rPr>
        <w:t xml:space="preserve">Reasonable expenses, such as </w:t>
      </w:r>
      <w:r w:rsidR="00201624">
        <w:rPr>
          <w:rStyle w:val="SubtleEmphasis"/>
        </w:rPr>
        <w:t xml:space="preserve">GP </w:t>
      </w:r>
      <w:r w:rsidR="00201624" w:rsidRPr="00E37AF7">
        <w:rPr>
          <w:rStyle w:val="SubtleEmphasis"/>
        </w:rPr>
        <w:t>sessional</w:t>
      </w:r>
      <w:r w:rsidRPr="00E37AF7">
        <w:rPr>
          <w:rStyle w:val="SubtleEmphasis"/>
        </w:rPr>
        <w:t>,</w:t>
      </w:r>
      <w:r w:rsidR="00201624">
        <w:rPr>
          <w:rStyle w:val="SubtleEmphasis"/>
        </w:rPr>
        <w:t xml:space="preserve"> event expenses for approved PMH assessment meetings</w:t>
      </w:r>
      <w:r w:rsidRPr="00E37AF7">
        <w:rPr>
          <w:rStyle w:val="SubtleEmphasis"/>
        </w:rPr>
        <w:t xml:space="preserve"> will be reimbursed to help divisions collect responses from members. Divisions can</w:t>
      </w:r>
      <w:r w:rsidR="00201624">
        <w:rPr>
          <w:rStyle w:val="SubtleEmphasis"/>
        </w:rPr>
        <w:t xml:space="preserve"> also add their own local questions into the PMH Assessment</w:t>
      </w:r>
      <w:r w:rsidRPr="00E37AF7">
        <w:rPr>
          <w:rStyle w:val="SubtleEmphasis"/>
        </w:rPr>
        <w:t xml:space="preserve"> earmark a portion of their PMH budget to cover administrative costs associated with collecting responses from members.</w:t>
      </w:r>
    </w:p>
    <w:p w:rsidR="00403C36" w:rsidRPr="00E37AF7" w:rsidRDefault="00403C36" w:rsidP="00403C36">
      <w:pPr>
        <w:pStyle w:val="Heading2"/>
        <w:spacing w:before="0"/>
      </w:pPr>
      <w:r w:rsidRPr="00E37AF7">
        <w:t>Most Significant Change</w:t>
      </w:r>
      <w:bookmarkEnd w:id="1"/>
    </w:p>
    <w:p w:rsidR="00403C36" w:rsidRPr="00E37AF7" w:rsidRDefault="00403C36" w:rsidP="00403C36">
      <w:r w:rsidRPr="00E37AF7">
        <w:t xml:space="preserve">This method includes collection and selection of stories in a systematic and consistent way, which provides rich narratives around a variety of stakeholder experiences and perspectives of PMH. The Most Significant Change evaluation technique asks participants to tell their stories related to specific domains of change. These stories will be elicited from patients and physicians to capture aspects of patient and physician experience. </w:t>
      </w:r>
    </w:p>
    <w:p w:rsidR="00403C36" w:rsidRPr="00E37AF7" w:rsidRDefault="00403C36" w:rsidP="00403C36">
      <w:pPr>
        <w:rPr>
          <w:rStyle w:val="SubtleEmphasis"/>
        </w:rPr>
      </w:pPr>
      <w:r w:rsidRPr="00E37AF7">
        <w:rPr>
          <w:rStyle w:val="SubtleEmphasis"/>
        </w:rPr>
        <w:t>Implementation Details</w:t>
      </w:r>
    </w:p>
    <w:p w:rsidR="00403C36" w:rsidRPr="00E37AF7" w:rsidRDefault="0039661C" w:rsidP="00403C36">
      <w:pPr>
        <w:pStyle w:val="ListParagraph"/>
        <w:numPr>
          <w:ilvl w:val="0"/>
          <w:numId w:val="1"/>
        </w:numPr>
        <w:rPr>
          <w:rStyle w:val="SubtleEmphasis"/>
          <w:i w:val="0"/>
        </w:rPr>
      </w:pPr>
      <w:r>
        <w:rPr>
          <w:rStyle w:val="SubtleEmphasis"/>
          <w:b/>
        </w:rPr>
        <w:t>C</w:t>
      </w:r>
      <w:r w:rsidR="00403C36" w:rsidRPr="00E37AF7">
        <w:rPr>
          <w:rStyle w:val="SubtleEmphasis"/>
          <w:b/>
        </w:rPr>
        <w:t>ontribution from Divisions:</w:t>
      </w:r>
      <w:r w:rsidR="00403C36" w:rsidRPr="00E37AF7">
        <w:rPr>
          <w:rStyle w:val="SubtleEmphasis"/>
        </w:rPr>
        <w:t xml:space="preserve"> Divisions will work with central supports to develop a small number of patient and physician stories</w:t>
      </w:r>
    </w:p>
    <w:p w:rsidR="00403C36" w:rsidRPr="00E37AF7" w:rsidRDefault="00403C36" w:rsidP="00403C36">
      <w:pPr>
        <w:pStyle w:val="ListParagraph"/>
        <w:numPr>
          <w:ilvl w:val="0"/>
          <w:numId w:val="1"/>
        </w:numPr>
        <w:rPr>
          <w:rStyle w:val="SubtleEmphasis"/>
          <w:i w:val="0"/>
        </w:rPr>
      </w:pPr>
      <w:r w:rsidRPr="00E37AF7">
        <w:rPr>
          <w:rStyle w:val="SubtleEmphasis"/>
          <w:b/>
        </w:rPr>
        <w:t>Central Support/Resources:</w:t>
      </w:r>
      <w:r w:rsidRPr="00E37AF7">
        <w:rPr>
          <w:rStyle w:val="SubtleEmphasis"/>
        </w:rPr>
        <w:t xml:space="preserve"> Story collectors/interviewers will be hired centrally and will visit each division to do story collection. For divisions who wish to collect stories using their own staff or consultants, additional funding will be available. </w:t>
      </w:r>
      <w:proofErr w:type="spellStart"/>
      <w:r w:rsidRPr="00E37AF7">
        <w:rPr>
          <w:rStyle w:val="SubtleEmphasis"/>
        </w:rPr>
        <w:t>Sessionals</w:t>
      </w:r>
      <w:proofErr w:type="spellEnd"/>
      <w:r w:rsidRPr="00E37AF7">
        <w:rPr>
          <w:rStyle w:val="SubtleEmphasis"/>
        </w:rPr>
        <w:t xml:space="preserve"> and travel expenses are covered.</w:t>
      </w:r>
    </w:p>
    <w:p w:rsidR="00403C36" w:rsidRDefault="00403C36" w:rsidP="00403C36">
      <w:pPr>
        <w:pStyle w:val="Heading2"/>
      </w:pPr>
      <w:bookmarkStart w:id="2" w:name="_Toc481073164"/>
      <w:r w:rsidRPr="00B82EF3">
        <w:t>Case studies</w:t>
      </w:r>
      <w:bookmarkEnd w:id="2"/>
    </w:p>
    <w:p w:rsidR="00403C36" w:rsidRPr="00E37AF7" w:rsidRDefault="00403C36" w:rsidP="00403C36">
      <w:r>
        <w:t xml:space="preserve">A case study is an in-depth examination of a particular case to understand its unique context from various perspectives. Case studies utilize multiple sources of information and a variety of methods. Case studies will examine both successes and lessons learned. The GPSC also plans to conduct a limited </w:t>
      </w:r>
      <w:r w:rsidRPr="00E37AF7">
        <w:t xml:space="preserve">number of developmental evaluations (DE) in prototype communities. The focus of DE is on understanding the emergence of innovative strategies in a local context. </w:t>
      </w:r>
    </w:p>
    <w:p w:rsidR="00403C36" w:rsidRPr="00E37AF7" w:rsidRDefault="00403C36" w:rsidP="00403C36">
      <w:pPr>
        <w:rPr>
          <w:rStyle w:val="SubtleEmphasis"/>
        </w:rPr>
      </w:pPr>
      <w:r w:rsidRPr="00E37AF7">
        <w:rPr>
          <w:rStyle w:val="SubtleEmphasis"/>
        </w:rPr>
        <w:lastRenderedPageBreak/>
        <w:t>Implementation Details</w:t>
      </w:r>
    </w:p>
    <w:p w:rsidR="00403C36" w:rsidRPr="00E37AF7" w:rsidRDefault="0039661C" w:rsidP="00403C36">
      <w:pPr>
        <w:pStyle w:val="ListParagraph"/>
        <w:numPr>
          <w:ilvl w:val="0"/>
          <w:numId w:val="2"/>
        </w:numPr>
        <w:rPr>
          <w:rStyle w:val="SubtleEmphasis"/>
          <w:b/>
          <w:i w:val="0"/>
        </w:rPr>
      </w:pPr>
      <w:r>
        <w:rPr>
          <w:rStyle w:val="SubtleEmphasis"/>
          <w:b/>
        </w:rPr>
        <w:t>C</w:t>
      </w:r>
      <w:r w:rsidR="00403C36" w:rsidRPr="00E37AF7">
        <w:rPr>
          <w:rStyle w:val="SubtleEmphasis"/>
          <w:b/>
        </w:rPr>
        <w:t xml:space="preserve">ontribution from Divisions: </w:t>
      </w:r>
      <w:r w:rsidR="00403C36" w:rsidRPr="00E37AF7">
        <w:rPr>
          <w:rStyle w:val="SubtleEmphasis"/>
        </w:rPr>
        <w:t>Each division will participate in 1 case study. Participation in multiple case studies voluntary.</w:t>
      </w:r>
    </w:p>
    <w:p w:rsidR="00403C36" w:rsidRPr="00E37AF7" w:rsidRDefault="00403C36" w:rsidP="00403C36">
      <w:pPr>
        <w:pStyle w:val="ListParagraph"/>
        <w:numPr>
          <w:ilvl w:val="0"/>
          <w:numId w:val="2"/>
        </w:numPr>
        <w:rPr>
          <w:rStyle w:val="SubtleEmphasis"/>
          <w:b/>
          <w:i w:val="0"/>
        </w:rPr>
      </w:pPr>
      <w:r w:rsidRPr="00E37AF7">
        <w:rPr>
          <w:rStyle w:val="SubtleEmphasis"/>
          <w:b/>
        </w:rPr>
        <w:t xml:space="preserve">Central Support/Resources: </w:t>
      </w:r>
      <w:r w:rsidRPr="00E37AF7">
        <w:rPr>
          <w:rStyle w:val="SubtleEmphasis"/>
        </w:rPr>
        <w:t xml:space="preserve">Case study researchers will be hired centrally and will connect with each division as required. Time spent by division staff consultants to support case studies will be compensated. </w:t>
      </w:r>
      <w:proofErr w:type="spellStart"/>
      <w:r w:rsidRPr="00E37AF7">
        <w:rPr>
          <w:rStyle w:val="SubtleEmphasis"/>
        </w:rPr>
        <w:t>Sessionals</w:t>
      </w:r>
      <w:proofErr w:type="spellEnd"/>
      <w:r w:rsidRPr="00E37AF7">
        <w:rPr>
          <w:rStyle w:val="SubtleEmphasis"/>
        </w:rPr>
        <w:t xml:space="preserve"> and travel expenses are covered.</w:t>
      </w:r>
    </w:p>
    <w:p w:rsidR="00C62219" w:rsidRDefault="00E77E6A" w:rsidP="00C62219">
      <w:pPr>
        <w:pStyle w:val="Heading2"/>
      </w:pPr>
      <w:bookmarkStart w:id="3" w:name="_Toc481073163"/>
      <w:r>
        <w:t>Local Evaluation</w:t>
      </w:r>
    </w:p>
    <w:bookmarkEnd w:id="3"/>
    <w:p w:rsidR="00142918" w:rsidRPr="00E37AF7" w:rsidRDefault="00142918" w:rsidP="00142918">
      <w:r>
        <w:t>The local evaluation is done by the division on all the PMH projects conducted with their PMH Funding. The local evaluation is meant to capture local outcomes, challenges, successes and enablers in the PMH in their local context. Aligning the local evaluation with the provincial framework and outcomes is recommended for alignment whenever possible</w:t>
      </w:r>
      <w:r w:rsidRPr="00E37AF7">
        <w:t xml:space="preserve">. </w:t>
      </w:r>
      <w:r>
        <w:t>Participation in the provincial components can align and supplement the local evaluation efforts so as to avoid duplication so divisions are encouraged to participate on the provincial components and use some of that information to feed into part of their local evaluation.</w:t>
      </w:r>
    </w:p>
    <w:p w:rsidR="00142918" w:rsidRPr="00E37AF7" w:rsidRDefault="00142918" w:rsidP="00142918">
      <w:pPr>
        <w:rPr>
          <w:rStyle w:val="SubtleEmphasis"/>
        </w:rPr>
      </w:pPr>
      <w:r w:rsidRPr="00E37AF7">
        <w:rPr>
          <w:rStyle w:val="SubtleEmphasis"/>
        </w:rPr>
        <w:t>Implementation Details</w:t>
      </w:r>
    </w:p>
    <w:p w:rsidR="00142918" w:rsidRPr="00E37AF7" w:rsidRDefault="00142918" w:rsidP="00142918">
      <w:pPr>
        <w:pStyle w:val="ListParagraph"/>
        <w:numPr>
          <w:ilvl w:val="0"/>
          <w:numId w:val="2"/>
        </w:numPr>
        <w:rPr>
          <w:rStyle w:val="SubtleEmphasis"/>
          <w:b/>
          <w:i w:val="0"/>
        </w:rPr>
      </w:pPr>
      <w:r>
        <w:rPr>
          <w:rStyle w:val="SubtleEmphasis"/>
          <w:b/>
        </w:rPr>
        <w:t>C</w:t>
      </w:r>
      <w:r w:rsidRPr="00E37AF7">
        <w:rPr>
          <w:rStyle w:val="SubtleEmphasis"/>
          <w:b/>
        </w:rPr>
        <w:t xml:space="preserve">ontribution from Divisions: </w:t>
      </w:r>
      <w:r w:rsidRPr="00E37AF7">
        <w:rPr>
          <w:rStyle w:val="SubtleEmphasis"/>
        </w:rPr>
        <w:t xml:space="preserve">Each division will </w:t>
      </w:r>
      <w:r>
        <w:rPr>
          <w:rStyle w:val="SubtleEmphasis"/>
        </w:rPr>
        <w:t>conduct its own local evaluation</w:t>
      </w:r>
    </w:p>
    <w:p w:rsidR="00142918" w:rsidRPr="00E37AF7" w:rsidRDefault="00142918" w:rsidP="00142918">
      <w:pPr>
        <w:pStyle w:val="ListParagraph"/>
        <w:numPr>
          <w:ilvl w:val="0"/>
          <w:numId w:val="2"/>
        </w:numPr>
        <w:rPr>
          <w:rStyle w:val="SubtleEmphasis"/>
          <w:b/>
          <w:i w:val="0"/>
        </w:rPr>
      </w:pPr>
      <w:r w:rsidRPr="00E37AF7">
        <w:rPr>
          <w:rStyle w:val="SubtleEmphasis"/>
          <w:b/>
        </w:rPr>
        <w:t>Central Support/Resources</w:t>
      </w:r>
      <w:r>
        <w:rPr>
          <w:rStyle w:val="SubtleEmphasis"/>
          <w:b/>
        </w:rPr>
        <w:t>: Covered as part of the PMH Funding</w:t>
      </w:r>
      <w:bookmarkStart w:id="4" w:name="_GoBack"/>
      <w:bookmarkEnd w:id="4"/>
      <w:r w:rsidRPr="00E37AF7">
        <w:rPr>
          <w:rStyle w:val="SubtleEmphasis"/>
        </w:rPr>
        <w:t>.</w:t>
      </w:r>
    </w:p>
    <w:p w:rsidR="00C01E4F" w:rsidRDefault="00755304"/>
    <w:sectPr w:rsidR="00C01E4F" w:rsidSect="003F61D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04" w:rsidRDefault="00755304" w:rsidP="00403C36">
      <w:pPr>
        <w:spacing w:after="0" w:line="240" w:lineRule="auto"/>
      </w:pPr>
      <w:r>
        <w:separator/>
      </w:r>
    </w:p>
  </w:endnote>
  <w:endnote w:type="continuationSeparator" w:id="0">
    <w:p w:rsidR="00755304" w:rsidRDefault="00755304" w:rsidP="0040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04" w:rsidRDefault="00755304" w:rsidP="00403C36">
      <w:pPr>
        <w:spacing w:after="0" w:line="240" w:lineRule="auto"/>
      </w:pPr>
      <w:r>
        <w:separator/>
      </w:r>
    </w:p>
  </w:footnote>
  <w:footnote w:type="continuationSeparator" w:id="0">
    <w:p w:rsidR="00755304" w:rsidRDefault="00755304" w:rsidP="00403C36">
      <w:pPr>
        <w:spacing w:after="0" w:line="240" w:lineRule="auto"/>
      </w:pPr>
      <w:r>
        <w:continuationSeparator/>
      </w:r>
    </w:p>
  </w:footnote>
  <w:footnote w:id="1">
    <w:p w:rsidR="00403C36" w:rsidRPr="00A77AF4" w:rsidRDefault="00403C36" w:rsidP="00403C36">
      <w:pPr>
        <w:pStyle w:val="FootnoteText"/>
      </w:pPr>
      <w:r w:rsidRPr="00145950">
        <w:rPr>
          <w:rStyle w:val="FootnoteReference"/>
        </w:rPr>
        <w:footnoteRef/>
      </w:r>
      <w:r w:rsidRPr="00145950">
        <w:t xml:space="preserve"> CIHI Measuring Attributes of PHC: Provider Survey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570DD"/>
    <w:multiLevelType w:val="hybridMultilevel"/>
    <w:tmpl w:val="5D1C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630B0"/>
    <w:multiLevelType w:val="hybridMultilevel"/>
    <w:tmpl w:val="32D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6"/>
    <w:rsid w:val="00097099"/>
    <w:rsid w:val="00142918"/>
    <w:rsid w:val="0018191A"/>
    <w:rsid w:val="00201624"/>
    <w:rsid w:val="002A78CF"/>
    <w:rsid w:val="00303CA1"/>
    <w:rsid w:val="00370C44"/>
    <w:rsid w:val="0039661C"/>
    <w:rsid w:val="003F61D3"/>
    <w:rsid w:val="00403C36"/>
    <w:rsid w:val="0066030D"/>
    <w:rsid w:val="00755304"/>
    <w:rsid w:val="00C33D1B"/>
    <w:rsid w:val="00C62219"/>
    <w:rsid w:val="00E574C3"/>
    <w:rsid w:val="00E7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250E2"/>
  <w15:chartTrackingRefBased/>
  <w15:docId w15:val="{CC49CD3D-D003-4C59-9E3E-BBD914D9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6"/>
    <w:pPr>
      <w:spacing w:after="200" w:line="276" w:lineRule="auto"/>
    </w:pPr>
  </w:style>
  <w:style w:type="paragraph" w:styleId="Heading1">
    <w:name w:val="heading 1"/>
    <w:basedOn w:val="Normal"/>
    <w:next w:val="Normal"/>
    <w:link w:val="Heading1Char"/>
    <w:uiPriority w:val="9"/>
    <w:qFormat/>
    <w:rsid w:val="00403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3C36"/>
    <w:pPr>
      <w:keepNext/>
      <w:keepLines/>
      <w:spacing w:before="200" w:after="0"/>
      <w:outlineLvl w:val="1"/>
    </w:pPr>
    <w:rPr>
      <w:rFonts w:eastAsiaTheme="majorEastAsia" w:cstheme="majorBidi"/>
      <w:b/>
      <w:bCs/>
      <w:color w:val="DC661E"/>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C36"/>
    <w:rPr>
      <w:rFonts w:eastAsiaTheme="majorEastAsia" w:cstheme="majorBidi"/>
      <w:b/>
      <w:bCs/>
      <w:color w:val="DC661E"/>
      <w:sz w:val="24"/>
      <w:szCs w:val="26"/>
    </w:rPr>
  </w:style>
  <w:style w:type="table" w:styleId="TableGrid">
    <w:name w:val="Table Grid"/>
    <w:basedOn w:val="TableNormal"/>
    <w:uiPriority w:val="39"/>
    <w:rsid w:val="0040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3C36"/>
    <w:pPr>
      <w:ind w:left="720"/>
      <w:contextualSpacing/>
    </w:pPr>
  </w:style>
  <w:style w:type="paragraph" w:styleId="FootnoteText">
    <w:name w:val="footnote text"/>
    <w:basedOn w:val="Normal"/>
    <w:link w:val="FootnoteTextChar"/>
    <w:uiPriority w:val="99"/>
    <w:semiHidden/>
    <w:unhideWhenUsed/>
    <w:rsid w:val="00403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C36"/>
    <w:rPr>
      <w:sz w:val="20"/>
      <w:szCs w:val="20"/>
    </w:rPr>
  </w:style>
  <w:style w:type="character" w:styleId="FootnoteReference">
    <w:name w:val="footnote reference"/>
    <w:basedOn w:val="DefaultParagraphFont"/>
    <w:uiPriority w:val="99"/>
    <w:semiHidden/>
    <w:unhideWhenUsed/>
    <w:rsid w:val="00403C36"/>
    <w:rPr>
      <w:vertAlign w:val="superscript"/>
    </w:rPr>
  </w:style>
  <w:style w:type="character" w:styleId="SubtleEmphasis">
    <w:name w:val="Subtle Emphasis"/>
    <w:basedOn w:val="DefaultParagraphFont"/>
    <w:uiPriority w:val="19"/>
    <w:qFormat/>
    <w:rsid w:val="00403C36"/>
    <w:rPr>
      <w:i/>
      <w:iCs/>
      <w:color w:val="808080" w:themeColor="text1" w:themeTint="7F"/>
    </w:rPr>
  </w:style>
  <w:style w:type="character" w:customStyle="1" w:styleId="ListParagraphChar">
    <w:name w:val="List Paragraph Char"/>
    <w:link w:val="ListParagraph"/>
    <w:uiPriority w:val="34"/>
    <w:locked/>
    <w:rsid w:val="00403C36"/>
  </w:style>
  <w:style w:type="paragraph" w:styleId="Title">
    <w:name w:val="Title"/>
    <w:basedOn w:val="Normal"/>
    <w:next w:val="Normal"/>
    <w:link w:val="TitleChar"/>
    <w:uiPriority w:val="10"/>
    <w:qFormat/>
    <w:rsid w:val="00403C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C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3C3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F6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D3"/>
  </w:style>
  <w:style w:type="paragraph" w:styleId="Footer">
    <w:name w:val="footer"/>
    <w:basedOn w:val="Normal"/>
    <w:link w:val="FooterChar"/>
    <w:uiPriority w:val="99"/>
    <w:unhideWhenUsed/>
    <w:rsid w:val="003F6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D3"/>
  </w:style>
  <w:style w:type="paragraph" w:styleId="NormalWeb">
    <w:name w:val="Normal (Web)"/>
    <w:basedOn w:val="Normal"/>
    <w:uiPriority w:val="99"/>
    <w:semiHidden/>
    <w:unhideWhenUsed/>
    <w:rsid w:val="003F61D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8473">
      <w:bodyDiv w:val="1"/>
      <w:marLeft w:val="0"/>
      <w:marRight w:val="0"/>
      <w:marTop w:val="0"/>
      <w:marBottom w:val="0"/>
      <w:divBdr>
        <w:top w:val="none" w:sz="0" w:space="0" w:color="auto"/>
        <w:left w:val="none" w:sz="0" w:space="0" w:color="auto"/>
        <w:bottom w:val="none" w:sz="0" w:space="0" w:color="auto"/>
        <w:right w:val="none" w:sz="0" w:space="0" w:color="auto"/>
      </w:divBdr>
    </w:div>
    <w:div w:id="602610445">
      <w:bodyDiv w:val="1"/>
      <w:marLeft w:val="0"/>
      <w:marRight w:val="0"/>
      <w:marTop w:val="0"/>
      <w:marBottom w:val="0"/>
      <w:divBdr>
        <w:top w:val="none" w:sz="0" w:space="0" w:color="auto"/>
        <w:left w:val="none" w:sz="0" w:space="0" w:color="auto"/>
        <w:bottom w:val="none" w:sz="0" w:space="0" w:color="auto"/>
        <w:right w:val="none" w:sz="0" w:space="0" w:color="auto"/>
      </w:divBdr>
    </w:div>
    <w:div w:id="16879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Doctors of BC</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Nahdi, Suud</dc:creator>
  <cp:keywords/>
  <dc:description/>
  <cp:lastModifiedBy>Nahdi, Suud</cp:lastModifiedBy>
  <cp:revision>15</cp:revision>
  <dcterms:created xsi:type="dcterms:W3CDTF">2018-10-25T22:15:00Z</dcterms:created>
  <dcterms:modified xsi:type="dcterms:W3CDTF">2019-01-11T01:05:00Z</dcterms:modified>
</cp:coreProperties>
</file>