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22" w:rsidRPr="00662025" w:rsidRDefault="000D3522" w:rsidP="000D3522">
      <w:pPr>
        <w:widowControl w:val="0"/>
        <w:spacing w:before="10" w:after="120" w:line="240" w:lineRule="auto"/>
        <w:rPr>
          <w:rFonts w:ascii="Arial" w:eastAsia="Arial" w:hAnsi="Arial" w:cs="Arial"/>
          <w:b/>
          <w:color w:val="006D8A"/>
        </w:rPr>
      </w:pPr>
      <w:r w:rsidRPr="00662025">
        <w:rPr>
          <w:rFonts w:ascii="Arial" w:eastAsia="Arial" w:hAnsi="Arial" w:cs="Arial"/>
          <w:b/>
          <w:color w:val="006D8A"/>
        </w:rPr>
        <w:t>Governance Policies</w:t>
      </w:r>
    </w:p>
    <w:p w:rsidR="000D3522" w:rsidRPr="00662025" w:rsidRDefault="00662025" w:rsidP="000D3522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8E8981"/>
        </w:rPr>
      </w:pPr>
      <w:bookmarkStart w:id="0" w:name="_Toc440211516"/>
      <w:proofErr w:type="gramStart"/>
      <w:r>
        <w:rPr>
          <w:rFonts w:ascii="Arial" w:eastAsia="Times New Roman" w:hAnsi="Arial" w:cs="Arial"/>
          <w:b/>
          <w:bCs/>
          <w:color w:val="8E8981"/>
        </w:rPr>
        <w:t>#.#</w:t>
      </w:r>
      <w:proofErr w:type="gramEnd"/>
      <w:r w:rsidR="000D3522" w:rsidRPr="00662025">
        <w:rPr>
          <w:rFonts w:ascii="Arial" w:eastAsia="Times New Roman" w:hAnsi="Arial" w:cs="Arial"/>
          <w:b/>
          <w:bCs/>
          <w:color w:val="8E8981"/>
        </w:rPr>
        <w:t xml:space="preserve"> Removing Board Directors</w:t>
      </w:r>
      <w:bookmarkEnd w:id="0"/>
    </w:p>
    <w:p w:rsidR="000D3522" w:rsidRPr="00662025" w:rsidRDefault="000D3522" w:rsidP="000D3522">
      <w:pPr>
        <w:numPr>
          <w:ilvl w:val="1"/>
          <w:numId w:val="0"/>
        </w:numPr>
        <w:spacing w:before="240" w:after="120" w:line="240" w:lineRule="auto"/>
        <w:rPr>
          <w:rFonts w:ascii="Arial" w:eastAsiaTheme="minorEastAsia" w:hAnsi="Arial" w:cs="Arial"/>
          <w:b/>
          <w:spacing w:val="15"/>
        </w:rPr>
      </w:pPr>
      <w:r w:rsidRPr="00662025">
        <w:rPr>
          <w:rFonts w:ascii="Arial" w:eastAsiaTheme="minorEastAsia" w:hAnsi="Arial" w:cs="Arial"/>
          <w:b/>
          <w:spacing w:val="15"/>
        </w:rPr>
        <w:t>Principles</w:t>
      </w:r>
    </w:p>
    <w:p w:rsidR="000D3522" w:rsidRPr="00662025" w:rsidRDefault="000D3522" w:rsidP="000D3522">
      <w:pPr>
        <w:widowControl w:val="0"/>
        <w:spacing w:before="10" w:after="120" w:line="240" w:lineRule="auto"/>
        <w:rPr>
          <w:rFonts w:ascii="Arial" w:eastAsia="Arial" w:hAnsi="Arial" w:cs="Arial"/>
        </w:rPr>
      </w:pPr>
      <w:r w:rsidRPr="00662025">
        <w:rPr>
          <w:rFonts w:ascii="Arial" w:eastAsia="Arial" w:hAnsi="Arial" w:cs="Arial"/>
        </w:rPr>
        <w:t xml:space="preserve">Board directors need to work effectively as a team and differences of opinion are a common factor.  Although at times these differences can be challenging, they are generally not considered a reason to remove a director.  </w:t>
      </w:r>
    </w:p>
    <w:p w:rsidR="000D3522" w:rsidRPr="00662025" w:rsidRDefault="000D3522" w:rsidP="000D3522">
      <w:pPr>
        <w:numPr>
          <w:ilvl w:val="1"/>
          <w:numId w:val="0"/>
        </w:numPr>
        <w:spacing w:before="240" w:after="120" w:line="240" w:lineRule="auto"/>
        <w:rPr>
          <w:rFonts w:ascii="Arial" w:eastAsia="Calibri" w:hAnsi="Arial" w:cs="Arial"/>
          <w:b/>
          <w:spacing w:val="15"/>
        </w:rPr>
      </w:pPr>
      <w:r w:rsidRPr="00662025">
        <w:rPr>
          <w:rFonts w:ascii="Arial" w:eastAsia="Calibri" w:hAnsi="Arial" w:cs="Arial"/>
          <w:b/>
          <w:spacing w:val="15"/>
        </w:rPr>
        <w:t>Policy</w:t>
      </w:r>
    </w:p>
    <w:p w:rsidR="000D3522" w:rsidRPr="00662025" w:rsidRDefault="000D3522" w:rsidP="000D3522">
      <w:pPr>
        <w:widowControl w:val="0"/>
        <w:numPr>
          <w:ilvl w:val="0"/>
          <w:numId w:val="3"/>
        </w:numPr>
        <w:spacing w:before="10" w:after="120" w:line="240" w:lineRule="auto"/>
        <w:rPr>
          <w:rFonts w:ascii="Arial" w:eastAsia="Arial" w:hAnsi="Arial" w:cs="Arial"/>
        </w:rPr>
      </w:pPr>
      <w:r w:rsidRPr="00662025">
        <w:rPr>
          <w:rFonts w:ascii="Arial" w:eastAsia="Arial" w:hAnsi="Arial" w:cs="Arial"/>
        </w:rPr>
        <w:t xml:space="preserve">When directors may not </w:t>
      </w:r>
      <w:r w:rsidRPr="00662025">
        <w:rPr>
          <w:rFonts w:ascii="Arial" w:eastAsia="Arial" w:hAnsi="Arial" w:cs="Arial"/>
          <w:noProof/>
        </w:rPr>
        <w:t>fulfill</w:t>
      </w:r>
      <w:r w:rsidRPr="00662025">
        <w:rPr>
          <w:rFonts w:ascii="Arial" w:eastAsia="Arial" w:hAnsi="Arial" w:cs="Arial"/>
        </w:rPr>
        <w:t xml:space="preserve"> their duties or may demonstrate unethical or illegal </w:t>
      </w:r>
      <w:r w:rsidRPr="00662025">
        <w:rPr>
          <w:rFonts w:ascii="Arial" w:eastAsia="Arial" w:hAnsi="Arial" w:cs="Arial"/>
          <w:noProof/>
        </w:rPr>
        <w:t>behaviour</w:t>
      </w:r>
      <w:r w:rsidRPr="00662025">
        <w:rPr>
          <w:rFonts w:ascii="Arial" w:eastAsia="Arial" w:hAnsi="Arial" w:cs="Arial"/>
        </w:rPr>
        <w:t xml:space="preserve"> that may lead to dismissal.  This is a decision that involves the whole board.  Removal should be the last resort.  </w:t>
      </w:r>
    </w:p>
    <w:p w:rsidR="000D3522" w:rsidRPr="00662025" w:rsidRDefault="000D3522" w:rsidP="000D3522">
      <w:pPr>
        <w:widowControl w:val="0"/>
        <w:numPr>
          <w:ilvl w:val="0"/>
          <w:numId w:val="3"/>
        </w:numPr>
        <w:spacing w:before="10" w:after="120" w:line="240" w:lineRule="auto"/>
        <w:rPr>
          <w:rFonts w:ascii="Arial" w:eastAsia="Arial" w:hAnsi="Arial" w:cs="Arial"/>
        </w:rPr>
      </w:pPr>
      <w:r w:rsidRPr="00662025">
        <w:rPr>
          <w:rFonts w:ascii="Arial" w:eastAsia="Arial" w:hAnsi="Arial" w:cs="Arial"/>
        </w:rPr>
        <w:t xml:space="preserve">Steps prior to this such as identifying the issues, seeking correction in </w:t>
      </w:r>
      <w:r w:rsidRPr="00662025">
        <w:rPr>
          <w:rFonts w:ascii="Arial" w:eastAsia="Arial" w:hAnsi="Arial" w:cs="Arial"/>
          <w:noProof/>
        </w:rPr>
        <w:t>behaviour</w:t>
      </w:r>
      <w:r w:rsidRPr="00662025">
        <w:rPr>
          <w:rFonts w:ascii="Arial" w:eastAsia="Arial" w:hAnsi="Arial" w:cs="Arial"/>
        </w:rPr>
        <w:t xml:space="preserve"> should be first steps.  </w:t>
      </w:r>
    </w:p>
    <w:p w:rsidR="000D3522" w:rsidRPr="00662025" w:rsidRDefault="000D3522" w:rsidP="000D3522">
      <w:pPr>
        <w:widowControl w:val="0"/>
        <w:numPr>
          <w:ilvl w:val="0"/>
          <w:numId w:val="3"/>
        </w:numPr>
        <w:spacing w:before="10" w:after="120" w:line="240" w:lineRule="auto"/>
        <w:rPr>
          <w:rFonts w:ascii="Arial" w:eastAsia="Arial" w:hAnsi="Arial" w:cs="Arial"/>
        </w:rPr>
      </w:pPr>
      <w:r w:rsidRPr="00662025">
        <w:rPr>
          <w:rFonts w:ascii="Arial" w:eastAsia="Arial" w:hAnsi="Arial" w:cs="Arial"/>
        </w:rPr>
        <w:t xml:space="preserve">It is the </w:t>
      </w:r>
      <w:r w:rsidRPr="00662025">
        <w:rPr>
          <w:rFonts w:ascii="Arial" w:eastAsia="Arial" w:hAnsi="Arial" w:cs="Arial"/>
          <w:noProof/>
        </w:rPr>
        <w:t>chair's</w:t>
      </w:r>
      <w:r w:rsidRPr="00662025">
        <w:rPr>
          <w:rFonts w:ascii="Arial" w:eastAsia="Arial" w:hAnsi="Arial" w:cs="Arial"/>
        </w:rPr>
        <w:t xml:space="preserve"> responsibility to address issues as they arise and to carry out the procedures required. </w:t>
      </w:r>
    </w:p>
    <w:p w:rsidR="000D3522" w:rsidRPr="00662025" w:rsidRDefault="000D3522" w:rsidP="000D3522">
      <w:pPr>
        <w:widowControl w:val="0"/>
        <w:numPr>
          <w:ilvl w:val="0"/>
          <w:numId w:val="3"/>
        </w:numPr>
        <w:spacing w:before="10" w:after="120" w:line="240" w:lineRule="auto"/>
        <w:rPr>
          <w:rFonts w:ascii="Arial" w:eastAsia="Arial" w:hAnsi="Arial" w:cs="Arial"/>
        </w:rPr>
      </w:pPr>
      <w:r w:rsidRPr="00662025">
        <w:rPr>
          <w:rFonts w:ascii="Arial" w:eastAsia="Arial" w:hAnsi="Arial" w:cs="Arial"/>
        </w:rPr>
        <w:t>Issues such as absenteeism and lack of involvement can be dealt using an approach that multiphase.</w:t>
      </w:r>
    </w:p>
    <w:p w:rsidR="000D3522" w:rsidRPr="00662025" w:rsidRDefault="000D3522" w:rsidP="000D3522">
      <w:pPr>
        <w:widowControl w:val="0"/>
        <w:numPr>
          <w:ilvl w:val="0"/>
          <w:numId w:val="3"/>
        </w:numPr>
        <w:spacing w:before="10" w:after="120" w:line="240" w:lineRule="auto"/>
        <w:rPr>
          <w:rFonts w:ascii="Arial" w:eastAsia="Arial" w:hAnsi="Arial" w:cs="Arial"/>
        </w:rPr>
      </w:pPr>
      <w:proofErr w:type="spellStart"/>
      <w:r w:rsidRPr="00662025">
        <w:rPr>
          <w:rFonts w:ascii="Arial" w:eastAsia="Arial" w:hAnsi="Arial" w:cs="Arial"/>
        </w:rPr>
        <w:t>Behaviour</w:t>
      </w:r>
      <w:proofErr w:type="spellEnd"/>
      <w:r w:rsidRPr="00662025">
        <w:rPr>
          <w:rFonts w:ascii="Arial" w:eastAsia="Arial" w:hAnsi="Arial" w:cs="Arial"/>
        </w:rPr>
        <w:t xml:space="preserve"> that is illegal and/or unethical may not warrant another opportunity to correct and may result in immediate removal from the board.</w:t>
      </w:r>
    </w:p>
    <w:p w:rsidR="000D3522" w:rsidRPr="00662025" w:rsidRDefault="000D3522" w:rsidP="000D3522">
      <w:pPr>
        <w:numPr>
          <w:ilvl w:val="1"/>
          <w:numId w:val="0"/>
        </w:numPr>
        <w:spacing w:before="240" w:after="120" w:line="240" w:lineRule="auto"/>
        <w:rPr>
          <w:rFonts w:ascii="Arial" w:eastAsia="Calibri" w:hAnsi="Arial" w:cs="Arial"/>
          <w:b/>
          <w:spacing w:val="15"/>
        </w:rPr>
      </w:pPr>
      <w:r w:rsidRPr="00662025">
        <w:rPr>
          <w:rFonts w:ascii="Arial" w:eastAsia="Calibri" w:hAnsi="Arial" w:cs="Arial"/>
          <w:b/>
          <w:spacing w:val="15"/>
        </w:rPr>
        <w:t>Procedures for Removing Difficult Directors of the Board:</w:t>
      </w:r>
    </w:p>
    <w:p w:rsidR="000D3522" w:rsidRPr="00662025" w:rsidRDefault="000D3522" w:rsidP="000D3522">
      <w:pPr>
        <w:widowControl w:val="0"/>
        <w:numPr>
          <w:ilvl w:val="0"/>
          <w:numId w:val="4"/>
        </w:numPr>
        <w:spacing w:before="10" w:after="120" w:line="240" w:lineRule="auto"/>
        <w:rPr>
          <w:rFonts w:ascii="Arial" w:eastAsia="Arial" w:hAnsi="Arial" w:cs="Arial"/>
        </w:rPr>
      </w:pPr>
      <w:proofErr w:type="gramStart"/>
      <w:r w:rsidRPr="00662025">
        <w:rPr>
          <w:rFonts w:ascii="Arial" w:eastAsia="Arial" w:hAnsi="Arial" w:cs="Arial"/>
        </w:rPr>
        <w:t>Phase</w:t>
      </w:r>
      <w:proofErr w:type="gramEnd"/>
      <w:r w:rsidRPr="00662025">
        <w:rPr>
          <w:rFonts w:ascii="Arial" w:eastAsia="Arial" w:hAnsi="Arial" w:cs="Arial"/>
        </w:rPr>
        <w:t xml:space="preserve"> One: Prevention – recommending attention to recruitment and up to date bylaws and policies. Policies covering conflict of interest, board absenteeism, guidelines such as code of conduct/ethics and director job descriptions are helpful to refer to and guide the expectation.</w:t>
      </w:r>
    </w:p>
    <w:p w:rsidR="000D3522" w:rsidRPr="00662025" w:rsidRDefault="000D3522" w:rsidP="000D3522">
      <w:pPr>
        <w:widowControl w:val="0"/>
        <w:numPr>
          <w:ilvl w:val="0"/>
          <w:numId w:val="4"/>
        </w:numPr>
        <w:spacing w:before="10" w:after="120" w:line="240" w:lineRule="auto"/>
        <w:rPr>
          <w:rFonts w:ascii="Arial" w:eastAsia="Arial" w:hAnsi="Arial" w:cs="Arial"/>
        </w:rPr>
      </w:pPr>
      <w:r w:rsidRPr="00662025">
        <w:rPr>
          <w:rFonts w:ascii="Arial" w:eastAsia="Arial" w:hAnsi="Arial" w:cs="Arial"/>
        </w:rPr>
        <w:t xml:space="preserve">Phase Two – Communication – recommending the chair speak with the director to discuss the concern, consequences and changes required to correct the </w:t>
      </w:r>
      <w:r w:rsidRPr="00662025">
        <w:rPr>
          <w:rFonts w:ascii="Arial" w:eastAsia="Arial" w:hAnsi="Arial" w:cs="Arial"/>
          <w:noProof/>
        </w:rPr>
        <w:t>issue</w:t>
      </w:r>
      <w:r w:rsidRPr="00662025">
        <w:rPr>
          <w:rFonts w:ascii="Arial" w:eastAsia="Arial" w:hAnsi="Arial" w:cs="Arial"/>
        </w:rPr>
        <w:t xml:space="preserve">.   </w:t>
      </w:r>
    </w:p>
    <w:p w:rsidR="000D3522" w:rsidRPr="00662025" w:rsidRDefault="000D3522" w:rsidP="000D3522">
      <w:pPr>
        <w:widowControl w:val="0"/>
        <w:numPr>
          <w:ilvl w:val="0"/>
          <w:numId w:val="4"/>
        </w:numPr>
        <w:spacing w:before="10" w:after="120" w:line="240" w:lineRule="auto"/>
        <w:rPr>
          <w:rFonts w:ascii="Arial" w:eastAsia="Arial" w:hAnsi="Arial" w:cs="Arial"/>
        </w:rPr>
      </w:pPr>
      <w:r w:rsidRPr="00662025">
        <w:rPr>
          <w:rFonts w:ascii="Arial" w:eastAsia="Arial" w:hAnsi="Arial" w:cs="Arial"/>
        </w:rPr>
        <w:t>Phase Three – Asking the director to resign if the required changes did not occur.</w:t>
      </w:r>
    </w:p>
    <w:p w:rsidR="000D3522" w:rsidRPr="00662025" w:rsidRDefault="000D3522" w:rsidP="000D3522">
      <w:pPr>
        <w:widowControl w:val="0"/>
        <w:numPr>
          <w:ilvl w:val="0"/>
          <w:numId w:val="4"/>
        </w:numPr>
        <w:spacing w:before="10" w:after="120" w:line="240" w:lineRule="auto"/>
        <w:rPr>
          <w:rFonts w:ascii="Arial" w:eastAsia="Arial" w:hAnsi="Arial" w:cs="Arial"/>
        </w:rPr>
      </w:pPr>
      <w:r w:rsidRPr="00662025">
        <w:rPr>
          <w:rFonts w:ascii="Arial" w:eastAsia="Arial" w:hAnsi="Arial" w:cs="Arial"/>
        </w:rPr>
        <w:t xml:space="preserve">Phase Four- The members may remove a director before the expiration of such director’s term of office by Special Resolution and may elect a replacement director by Ordinary Resolution to serve for the balance of the removed director’s term as found in section 5.14 </w:t>
      </w:r>
      <w:r w:rsidR="00662025">
        <w:rPr>
          <w:rFonts w:ascii="Arial" w:eastAsia="Arial" w:hAnsi="Arial" w:cs="Arial"/>
        </w:rPr>
        <w:t xml:space="preserve">of the Society Act Bylaws of NAME </w:t>
      </w:r>
      <w:r w:rsidRPr="00662025">
        <w:rPr>
          <w:rFonts w:ascii="Arial" w:eastAsia="Arial" w:hAnsi="Arial" w:cs="Arial"/>
        </w:rPr>
        <w:t>Division</w:t>
      </w:r>
    </w:p>
    <w:p w:rsidR="000D3522" w:rsidRPr="00662025" w:rsidRDefault="000D3522" w:rsidP="000D3522">
      <w:pPr>
        <w:widowControl w:val="0"/>
        <w:numPr>
          <w:ilvl w:val="0"/>
          <w:numId w:val="4"/>
        </w:numPr>
        <w:spacing w:before="10" w:after="120" w:line="240" w:lineRule="auto"/>
        <w:rPr>
          <w:rFonts w:ascii="Arial" w:eastAsia="Arial" w:hAnsi="Arial" w:cs="Arial"/>
        </w:rPr>
      </w:pPr>
      <w:r w:rsidRPr="00662025">
        <w:rPr>
          <w:rFonts w:ascii="Arial" w:eastAsia="Arial" w:hAnsi="Arial" w:cs="Arial"/>
        </w:rPr>
        <w:t>Final Phase – written letter informing them of Removal by Special Resolution</w:t>
      </w:r>
    </w:p>
    <w:p w:rsidR="000D3522" w:rsidRPr="00662025" w:rsidRDefault="000D3522" w:rsidP="000D3522">
      <w:pPr>
        <w:spacing w:line="240" w:lineRule="auto"/>
        <w:rPr>
          <w:rFonts w:ascii="Arial" w:eastAsia="Times New Roman" w:hAnsi="Arial" w:cs="Arial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D3522" w:rsidRPr="00662025" w:rsidTr="00EE3FD1">
        <w:trPr>
          <w:trHeight w:val="268"/>
        </w:trPr>
        <w:tc>
          <w:tcPr>
            <w:tcW w:w="4680" w:type="dxa"/>
          </w:tcPr>
          <w:p w:rsidR="000D3522" w:rsidRPr="00662025" w:rsidRDefault="000D3522" w:rsidP="000D3522">
            <w:pPr>
              <w:spacing w:before="60" w:after="60"/>
              <w:rPr>
                <w:rFonts w:ascii="Arial" w:hAnsi="Arial" w:cs="Arial"/>
                <w:w w:val="105"/>
              </w:rPr>
            </w:pPr>
            <w:r w:rsidRPr="00662025">
              <w:rPr>
                <w:rFonts w:ascii="Arial" w:hAnsi="Arial" w:cs="Arial"/>
                <w:w w:val="105"/>
              </w:rPr>
              <w:t>First Approved</w:t>
            </w:r>
          </w:p>
        </w:tc>
        <w:tc>
          <w:tcPr>
            <w:tcW w:w="4680" w:type="dxa"/>
          </w:tcPr>
          <w:p w:rsidR="000D3522" w:rsidRPr="00662025" w:rsidRDefault="000D3522" w:rsidP="000D3522">
            <w:pPr>
              <w:spacing w:before="60" w:after="60"/>
              <w:rPr>
                <w:rFonts w:ascii="Arial" w:hAnsi="Arial" w:cs="Arial"/>
                <w:w w:val="105"/>
              </w:rPr>
            </w:pPr>
            <w:r w:rsidRPr="00662025">
              <w:rPr>
                <w:rFonts w:ascii="Arial" w:hAnsi="Arial" w:cs="Arial"/>
                <w:w w:val="105"/>
              </w:rPr>
              <w:t>Approved Revisions</w:t>
            </w:r>
          </w:p>
        </w:tc>
      </w:tr>
      <w:tr w:rsidR="000D3522" w:rsidRPr="00662025" w:rsidTr="00EE3FD1">
        <w:trPr>
          <w:trHeight w:val="281"/>
        </w:trPr>
        <w:tc>
          <w:tcPr>
            <w:tcW w:w="4680" w:type="dxa"/>
          </w:tcPr>
          <w:p w:rsidR="000D3522" w:rsidRPr="00662025" w:rsidRDefault="00662025" w:rsidP="000D3522">
            <w:pPr>
              <w:spacing w:before="60" w:after="60"/>
              <w:rPr>
                <w:rFonts w:ascii="Arial" w:hAnsi="Arial" w:cs="Arial"/>
                <w:w w:val="105"/>
              </w:rPr>
            </w:pPr>
            <w:r w:rsidRPr="00662025">
              <w:rPr>
                <w:rFonts w:ascii="Arial" w:hAnsi="Arial" w:cs="Arial"/>
                <w:w w:val="105"/>
              </w:rPr>
              <w:t>DATE</w:t>
            </w:r>
          </w:p>
        </w:tc>
        <w:tc>
          <w:tcPr>
            <w:tcW w:w="4680" w:type="dxa"/>
          </w:tcPr>
          <w:p w:rsidR="000D3522" w:rsidRPr="00662025" w:rsidRDefault="00662025" w:rsidP="000D3522">
            <w:pPr>
              <w:spacing w:before="60" w:after="60"/>
              <w:rPr>
                <w:rFonts w:ascii="Arial" w:hAnsi="Arial" w:cs="Arial"/>
                <w:w w:val="105"/>
              </w:rPr>
            </w:pPr>
            <w:r w:rsidRPr="00662025">
              <w:rPr>
                <w:rFonts w:ascii="Arial" w:hAnsi="Arial" w:cs="Arial"/>
                <w:w w:val="105"/>
              </w:rPr>
              <w:t>DATE</w:t>
            </w:r>
          </w:p>
        </w:tc>
      </w:tr>
    </w:tbl>
    <w:p w:rsidR="00662025" w:rsidRPr="00662025" w:rsidRDefault="00662025" w:rsidP="00662025">
      <w:pPr>
        <w:rPr>
          <w:rFonts w:ascii="Arial" w:hAnsi="Arial" w:cs="Arial"/>
        </w:rPr>
      </w:pPr>
      <w:bookmarkStart w:id="1" w:name="_GoBack"/>
      <w:bookmarkEnd w:id="1"/>
    </w:p>
    <w:sectPr w:rsidR="00662025" w:rsidRPr="006620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51" w:rsidRDefault="003C3424">
      <w:pPr>
        <w:spacing w:after="0" w:line="240" w:lineRule="auto"/>
      </w:pPr>
      <w:r>
        <w:separator/>
      </w:r>
    </w:p>
  </w:endnote>
  <w:endnote w:type="continuationSeparator" w:id="0">
    <w:p w:rsidR="00FC5951" w:rsidRDefault="003C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22" w:rsidRDefault="000D3522" w:rsidP="00EF3EC3">
    <w:pPr>
      <w:tabs>
        <w:tab w:val="center" w:pos="4550"/>
        <w:tab w:val="left" w:pos="5818"/>
      </w:tabs>
      <w:spacing w:after="120"/>
      <w:ind w:right="260"/>
      <w:jc w:val="right"/>
      <w:rPr>
        <w:color w:val="222A35" w:themeColor="text2" w:themeShade="80"/>
        <w:sz w:val="24"/>
      </w:rPr>
    </w:pPr>
    <w:r>
      <w:rPr>
        <w:color w:val="8E8981"/>
        <w:sz w:val="20"/>
        <w:szCs w:val="20"/>
      </w:rPr>
      <w:t>Removing Board Directors</w:t>
    </w:r>
    <w:r>
      <w:rPr>
        <w:color w:val="8496B0" w:themeColor="text2" w:themeTint="99"/>
        <w:sz w:val="24"/>
      </w:rPr>
      <w:t xml:space="preserve"> </w:t>
    </w:r>
    <w:r w:rsidRPr="00AA7EA5">
      <w:rPr>
        <w:color w:val="006D8A"/>
        <w:sz w:val="20"/>
        <w:szCs w:val="20"/>
      </w:rPr>
      <w:fldChar w:fldCharType="begin"/>
    </w:r>
    <w:r w:rsidRPr="00AA7EA5">
      <w:rPr>
        <w:color w:val="006D8A"/>
        <w:sz w:val="20"/>
        <w:szCs w:val="20"/>
      </w:rPr>
      <w:instrText xml:space="preserve"> PAGE   \* MERGEFORMAT </w:instrText>
    </w:r>
    <w:r w:rsidRPr="00AA7EA5">
      <w:rPr>
        <w:color w:val="006D8A"/>
        <w:sz w:val="20"/>
        <w:szCs w:val="20"/>
      </w:rPr>
      <w:fldChar w:fldCharType="separate"/>
    </w:r>
    <w:r w:rsidR="00662025">
      <w:rPr>
        <w:noProof/>
        <w:color w:val="006D8A"/>
        <w:sz w:val="20"/>
        <w:szCs w:val="20"/>
      </w:rPr>
      <w:t>1</w:t>
    </w:r>
    <w:r w:rsidRPr="00AA7EA5">
      <w:rPr>
        <w:color w:val="006D8A"/>
        <w:sz w:val="20"/>
        <w:szCs w:val="20"/>
      </w:rPr>
      <w:fldChar w:fldCharType="end"/>
    </w:r>
    <w:r w:rsidRPr="00AA7EA5">
      <w:rPr>
        <w:color w:val="006D8A"/>
        <w:sz w:val="20"/>
        <w:szCs w:val="20"/>
      </w:rPr>
      <w:t xml:space="preserve"> | </w:t>
    </w:r>
    <w:r w:rsidRPr="00AA7EA5">
      <w:rPr>
        <w:color w:val="006D8A"/>
        <w:sz w:val="20"/>
        <w:szCs w:val="20"/>
      </w:rPr>
      <w:fldChar w:fldCharType="begin"/>
    </w:r>
    <w:r w:rsidRPr="00AA7EA5">
      <w:rPr>
        <w:color w:val="006D8A"/>
        <w:sz w:val="20"/>
        <w:szCs w:val="20"/>
      </w:rPr>
      <w:instrText xml:space="preserve"> NUMPAGES  \* Arabic  \* MERGEFORMAT </w:instrText>
    </w:r>
    <w:r w:rsidRPr="00AA7EA5">
      <w:rPr>
        <w:color w:val="006D8A"/>
        <w:sz w:val="20"/>
        <w:szCs w:val="20"/>
      </w:rPr>
      <w:fldChar w:fldCharType="separate"/>
    </w:r>
    <w:r w:rsidR="00662025">
      <w:rPr>
        <w:noProof/>
        <w:color w:val="006D8A"/>
        <w:sz w:val="20"/>
        <w:szCs w:val="20"/>
      </w:rPr>
      <w:t>1</w:t>
    </w:r>
    <w:r w:rsidRPr="00AA7EA5">
      <w:rPr>
        <w:color w:val="006D8A"/>
        <w:sz w:val="20"/>
        <w:szCs w:val="20"/>
      </w:rPr>
      <w:fldChar w:fldCharType="end"/>
    </w:r>
  </w:p>
  <w:p w:rsidR="000D3522" w:rsidRDefault="000D3522" w:rsidP="00FF5D5D">
    <w:pPr>
      <w:pStyle w:val="Level2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51" w:rsidRDefault="003C3424">
      <w:pPr>
        <w:spacing w:after="0" w:line="240" w:lineRule="auto"/>
      </w:pPr>
      <w:r>
        <w:separator/>
      </w:r>
    </w:p>
  </w:footnote>
  <w:footnote w:type="continuationSeparator" w:id="0">
    <w:p w:rsidR="00FC5951" w:rsidRDefault="003C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9A4"/>
    <w:multiLevelType w:val="hybridMultilevel"/>
    <w:tmpl w:val="74788388"/>
    <w:lvl w:ilvl="0" w:tplc="E640D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8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4B50F2"/>
    <w:multiLevelType w:val="hybridMultilevel"/>
    <w:tmpl w:val="B8A0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211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8C"/>
    <w:rsid w:val="000D3522"/>
    <w:rsid w:val="003C3424"/>
    <w:rsid w:val="0044668C"/>
    <w:rsid w:val="00662025"/>
    <w:rsid w:val="0094333A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link w:val="Level2Char"/>
    <w:autoRedefine/>
    <w:qFormat/>
    <w:rsid w:val="000D3522"/>
    <w:pPr>
      <w:autoSpaceDE w:val="0"/>
      <w:autoSpaceDN w:val="0"/>
      <w:adjustRightInd w:val="0"/>
      <w:spacing w:after="120" w:line="280" w:lineRule="exact"/>
    </w:pPr>
    <w:rPr>
      <w:rFonts w:ascii="Arial" w:eastAsiaTheme="minorEastAsia" w:hAnsi="Arial" w:cs="Georgia"/>
      <w:b/>
      <w:bCs/>
      <w:color w:val="8496B0" w:themeColor="text2" w:themeTint="99"/>
      <w:sz w:val="32"/>
      <w:szCs w:val="32"/>
      <w:lang w:val="en-CA" w:eastAsia="ja-JP"/>
    </w:rPr>
  </w:style>
  <w:style w:type="character" w:customStyle="1" w:styleId="Level2Char">
    <w:name w:val="Level 2 Char"/>
    <w:basedOn w:val="DefaultParagraphFont"/>
    <w:link w:val="Level2"/>
    <w:rsid w:val="000D3522"/>
    <w:rPr>
      <w:rFonts w:ascii="Arial" w:eastAsiaTheme="minorEastAsia" w:hAnsi="Arial" w:cs="Georgia"/>
      <w:b/>
      <w:bCs/>
      <w:color w:val="8496B0" w:themeColor="text2" w:themeTint="99"/>
      <w:sz w:val="32"/>
      <w:szCs w:val="32"/>
      <w:lang w:val="en-CA" w:eastAsia="ja-JP"/>
    </w:rPr>
  </w:style>
  <w:style w:type="table" w:styleId="TableGrid">
    <w:name w:val="Table Grid"/>
    <w:basedOn w:val="TableNormal"/>
    <w:uiPriority w:val="39"/>
    <w:rsid w:val="000D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link w:val="Level2Char"/>
    <w:autoRedefine/>
    <w:qFormat/>
    <w:rsid w:val="000D3522"/>
    <w:pPr>
      <w:autoSpaceDE w:val="0"/>
      <w:autoSpaceDN w:val="0"/>
      <w:adjustRightInd w:val="0"/>
      <w:spacing w:after="120" w:line="280" w:lineRule="exact"/>
    </w:pPr>
    <w:rPr>
      <w:rFonts w:ascii="Arial" w:eastAsiaTheme="minorEastAsia" w:hAnsi="Arial" w:cs="Georgia"/>
      <w:b/>
      <w:bCs/>
      <w:color w:val="8496B0" w:themeColor="text2" w:themeTint="99"/>
      <w:sz w:val="32"/>
      <w:szCs w:val="32"/>
      <w:lang w:val="en-CA" w:eastAsia="ja-JP"/>
    </w:rPr>
  </w:style>
  <w:style w:type="character" w:customStyle="1" w:styleId="Level2Char">
    <w:name w:val="Level 2 Char"/>
    <w:basedOn w:val="DefaultParagraphFont"/>
    <w:link w:val="Level2"/>
    <w:rsid w:val="000D3522"/>
    <w:rPr>
      <w:rFonts w:ascii="Arial" w:eastAsiaTheme="minorEastAsia" w:hAnsi="Arial" w:cs="Georgia"/>
      <w:b/>
      <w:bCs/>
      <w:color w:val="8496B0" w:themeColor="text2" w:themeTint="99"/>
      <w:sz w:val="32"/>
      <w:szCs w:val="32"/>
      <w:lang w:val="en-CA" w:eastAsia="ja-JP"/>
    </w:rPr>
  </w:style>
  <w:style w:type="table" w:styleId="TableGrid">
    <w:name w:val="Table Grid"/>
    <w:basedOn w:val="TableNormal"/>
    <w:uiPriority w:val="39"/>
    <w:rsid w:val="000D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D83DB1FF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Climie, Susan</cp:lastModifiedBy>
  <cp:revision>3</cp:revision>
  <dcterms:created xsi:type="dcterms:W3CDTF">2016-06-08T20:24:00Z</dcterms:created>
  <dcterms:modified xsi:type="dcterms:W3CDTF">2016-06-09T17:37:00Z</dcterms:modified>
</cp:coreProperties>
</file>